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4487B8E7"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14453B">
        <w:rPr>
          <w:rFonts w:ascii="Arial" w:hAnsi="Arial"/>
          <w:b/>
          <w:lang w:val="en-US"/>
        </w:rPr>
        <w:t>1</w:t>
      </w:r>
      <w:r w:rsidR="00D6375C" w:rsidRPr="00536C1E">
        <w:rPr>
          <w:rFonts w:ascii="Arial" w:hAnsi="Arial"/>
          <w:b/>
          <w:lang w:val="en-US"/>
        </w:rPr>
        <w:tab/>
      </w:r>
      <w:r w:rsidR="0030400A" w:rsidRPr="0030400A">
        <w:rPr>
          <w:rFonts w:ascii="Arial" w:hAnsi="Arial"/>
          <w:b/>
          <w:lang w:val="en-US"/>
        </w:rPr>
        <w:t>R1-1720463</w:t>
      </w:r>
    </w:p>
    <w:p w14:paraId="66354B83" w14:textId="3D3666D1" w:rsidR="00113916" w:rsidRPr="00F97042" w:rsidRDefault="0014453B" w:rsidP="00113916">
      <w:pPr>
        <w:rPr>
          <w:rFonts w:ascii="Arial" w:hAnsi="Arial"/>
          <w:b/>
          <w:lang w:val="en-AU"/>
        </w:rPr>
      </w:pPr>
      <w:r w:rsidRPr="0014453B">
        <w:rPr>
          <w:rFonts w:ascii="Arial" w:hAnsi="Arial"/>
          <w:b/>
          <w:lang w:val="en-AU"/>
        </w:rPr>
        <w:t>Reno, USA</w:t>
      </w:r>
      <w:r w:rsidR="00C434DD">
        <w:rPr>
          <w:rFonts w:ascii="Arial" w:hAnsi="Arial"/>
          <w:b/>
          <w:lang w:val="en-AU"/>
        </w:rPr>
        <w:t>,</w:t>
      </w:r>
      <w:r w:rsidR="00F02F65" w:rsidRPr="00F02F65">
        <w:rPr>
          <w:rFonts w:ascii="Arial" w:hAnsi="Arial"/>
          <w:b/>
          <w:lang w:val="en-AU"/>
        </w:rPr>
        <w:t xml:space="preserve"> </w:t>
      </w:r>
      <w:r>
        <w:rPr>
          <w:rFonts w:ascii="Arial" w:hAnsi="Arial"/>
          <w:b/>
          <w:lang w:val="en-AU"/>
        </w:rPr>
        <w:t>27</w:t>
      </w:r>
      <w:r w:rsidR="00F365C0" w:rsidRPr="00F365C0">
        <w:rPr>
          <w:rFonts w:ascii="Arial" w:hAnsi="Arial"/>
          <w:b/>
          <w:vertAlign w:val="superscript"/>
          <w:lang w:val="en-AU"/>
        </w:rPr>
        <w:t>th</w:t>
      </w:r>
      <w:r w:rsidR="00F365C0">
        <w:rPr>
          <w:rFonts w:ascii="Arial" w:hAnsi="Arial"/>
          <w:b/>
          <w:lang w:val="en-AU"/>
        </w:rPr>
        <w:t xml:space="preserve"> </w:t>
      </w:r>
      <w:r>
        <w:rPr>
          <w:rFonts w:ascii="Arial" w:hAnsi="Arial"/>
          <w:b/>
          <w:lang w:val="en-AU"/>
        </w:rPr>
        <w:t xml:space="preserve">November </w:t>
      </w:r>
      <w:r w:rsidR="00F365C0">
        <w:rPr>
          <w:rFonts w:ascii="Arial" w:hAnsi="Arial"/>
          <w:b/>
          <w:lang w:val="en-AU"/>
        </w:rPr>
        <w:t>– 1</w:t>
      </w:r>
      <w:r w:rsidRPr="0014453B">
        <w:rPr>
          <w:rFonts w:ascii="Arial" w:hAnsi="Arial"/>
          <w:b/>
          <w:vertAlign w:val="superscript"/>
          <w:lang w:val="en-AU"/>
        </w:rPr>
        <w:t>st</w:t>
      </w:r>
      <w:r>
        <w:rPr>
          <w:rFonts w:ascii="Arial" w:hAnsi="Arial"/>
          <w:b/>
          <w:lang w:val="en-AU"/>
        </w:rPr>
        <w:t xml:space="preserve"> December</w:t>
      </w:r>
      <w:r w:rsidR="00F365C0" w:rsidRPr="00F365C0">
        <w:rPr>
          <w:rFonts w:ascii="Arial" w:hAnsi="Arial"/>
          <w:b/>
          <w:lang w:val="en-AU"/>
        </w:rPr>
        <w:t xml:space="preserve"> </w:t>
      </w:r>
      <w:r w:rsidR="00D976C8" w:rsidRPr="00D976C8">
        <w:rPr>
          <w:rFonts w:ascii="Arial" w:hAnsi="Arial"/>
          <w:b/>
          <w:lang w:val="en-AU"/>
        </w:rPr>
        <w:t>2017</w:t>
      </w:r>
    </w:p>
    <w:p w14:paraId="259EC765" w14:textId="514E8BC5" w:rsidR="00DD4E7D" w:rsidRPr="00536C1E" w:rsidRDefault="00DD4E7D" w:rsidP="005C17E7">
      <w:pPr>
        <w:tabs>
          <w:tab w:val="left" w:pos="1800"/>
        </w:tabs>
        <w:spacing w:after="60"/>
        <w:rPr>
          <w:rFonts w:eastAsia="MS Mincho"/>
          <w:b/>
          <w:sz w:val="24"/>
          <w:lang w:val="en-US"/>
        </w:rPr>
      </w:pPr>
      <w:r w:rsidRPr="00536C1E">
        <w:rPr>
          <w:b/>
          <w:sz w:val="24"/>
          <w:lang w:val="en-US"/>
        </w:rPr>
        <w:t>Agenda Item:</w:t>
      </w:r>
      <w:r w:rsidRPr="00536C1E">
        <w:rPr>
          <w:b/>
          <w:sz w:val="24"/>
          <w:lang w:val="en-US"/>
        </w:rPr>
        <w:tab/>
      </w:r>
      <w:r w:rsidR="00FB6E34" w:rsidRPr="00FB6E34">
        <w:rPr>
          <w:b/>
          <w:sz w:val="24"/>
          <w:lang w:val="en-US"/>
        </w:rPr>
        <w:t>7.3.3.6</w:t>
      </w:r>
    </w:p>
    <w:p w14:paraId="57542942" w14:textId="77777777" w:rsidR="00DD4E7D" w:rsidRPr="00536C1E" w:rsidRDefault="00DD4E7D" w:rsidP="00DD4E7D">
      <w:pPr>
        <w:tabs>
          <w:tab w:val="left" w:pos="1800"/>
        </w:tabs>
        <w:spacing w:after="60"/>
        <w:rPr>
          <w:b/>
          <w:sz w:val="24"/>
          <w:lang w:val="en-US"/>
        </w:rPr>
      </w:pPr>
      <w:r w:rsidRPr="00536C1E">
        <w:rPr>
          <w:b/>
          <w:sz w:val="24"/>
          <w:lang w:val="en-US"/>
        </w:rPr>
        <w:t xml:space="preserve">Source: </w:t>
      </w:r>
      <w:r w:rsidRPr="00536C1E">
        <w:rPr>
          <w:b/>
          <w:sz w:val="24"/>
          <w:lang w:val="en-US"/>
        </w:rPr>
        <w:tab/>
      </w:r>
      <w:r w:rsidR="00E14CBF" w:rsidRPr="00536C1E">
        <w:rPr>
          <w:b/>
          <w:sz w:val="24"/>
          <w:lang w:val="en-US"/>
        </w:rPr>
        <w:t>Sony</w:t>
      </w:r>
      <w:r w:rsidR="005833B3" w:rsidRPr="00536C1E">
        <w:rPr>
          <w:b/>
          <w:sz w:val="24"/>
          <w:lang w:val="en-US"/>
        </w:rPr>
        <w:t xml:space="preserve"> </w:t>
      </w:r>
    </w:p>
    <w:p w14:paraId="52BFB253" w14:textId="5C4B3DFC" w:rsidR="00DD4E7D" w:rsidRPr="00536C1E" w:rsidRDefault="00DD4E7D" w:rsidP="00FB7782">
      <w:pPr>
        <w:tabs>
          <w:tab w:val="left" w:pos="1800"/>
        </w:tabs>
        <w:spacing w:after="60"/>
        <w:ind w:left="1800" w:hanging="1800"/>
        <w:rPr>
          <w:b/>
          <w:sz w:val="24"/>
          <w:lang w:val="en-US"/>
        </w:rPr>
      </w:pPr>
      <w:r w:rsidRPr="00536C1E">
        <w:rPr>
          <w:b/>
          <w:color w:val="000000"/>
          <w:sz w:val="24"/>
          <w:lang w:val="en-US"/>
        </w:rPr>
        <w:t>Title:</w:t>
      </w:r>
      <w:r w:rsidRPr="00536C1E">
        <w:rPr>
          <w:b/>
          <w:color w:val="000000"/>
          <w:sz w:val="24"/>
          <w:lang w:val="en-US"/>
        </w:rPr>
        <w:tab/>
      </w:r>
      <w:r w:rsidR="0014453B">
        <w:rPr>
          <w:b/>
          <w:color w:val="000000"/>
          <w:sz w:val="24"/>
          <w:lang w:val="en-US"/>
        </w:rPr>
        <w:t>Remaining issues in</w:t>
      </w:r>
      <w:r w:rsidR="00FB6E34" w:rsidRPr="00FB6E34">
        <w:rPr>
          <w:b/>
          <w:color w:val="000000"/>
          <w:sz w:val="24"/>
          <w:lang w:val="en-US"/>
        </w:rPr>
        <w:t xml:space="preserve"> Pre-emption Indicator</w:t>
      </w:r>
    </w:p>
    <w:p w14:paraId="1F2902D4" w14:textId="77777777" w:rsidR="00DD4E7D" w:rsidRPr="004A539C" w:rsidRDefault="00DD4E7D" w:rsidP="00DD4E7D">
      <w:pPr>
        <w:tabs>
          <w:tab w:val="left" w:pos="1800"/>
        </w:tabs>
        <w:spacing w:after="60"/>
        <w:rPr>
          <w:b/>
          <w:sz w:val="24"/>
        </w:rPr>
      </w:pPr>
      <w:r w:rsidRPr="004A539C">
        <w:rPr>
          <w:b/>
          <w:sz w:val="24"/>
        </w:rPr>
        <w:t>Document for:</w:t>
      </w:r>
      <w:r w:rsidR="004D2A00" w:rsidRPr="004A539C">
        <w:rPr>
          <w:b/>
          <w:sz w:val="24"/>
        </w:rPr>
        <w:tab/>
        <w:t>Discussion</w:t>
      </w:r>
      <w:r w:rsidR="00E174F6" w:rsidRPr="004A539C">
        <w:rPr>
          <w:b/>
          <w:sz w:val="24"/>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1518410D" w14:textId="29A94F4E" w:rsidR="00E9249F" w:rsidRDefault="00E9249F" w:rsidP="00226014">
      <w:pPr>
        <w:jc w:val="both"/>
        <w:rPr>
          <w:lang w:val="en-US"/>
        </w:rPr>
      </w:pPr>
      <w:r>
        <w:rPr>
          <w:lang w:val="en-US"/>
        </w:rPr>
        <w:t>In RAN1</w:t>
      </w:r>
      <w:r w:rsidR="0014453B">
        <w:rPr>
          <w:lang w:val="en-US"/>
        </w:rPr>
        <w:t>#90bis</w:t>
      </w:r>
      <w:r>
        <w:rPr>
          <w:lang w:val="en-US"/>
        </w:rPr>
        <w:t>, we agreed the following:</w:t>
      </w:r>
    </w:p>
    <w:p w14:paraId="04D75FD8" w14:textId="77777777" w:rsidR="0014453B" w:rsidRPr="0014453B" w:rsidRDefault="0014453B" w:rsidP="0014453B">
      <w:pPr>
        <w:numPr>
          <w:ilvl w:val="3"/>
          <w:numId w:val="10"/>
        </w:numPr>
        <w:spacing w:after="0" w:line="240" w:lineRule="auto"/>
        <w:rPr>
          <w:rFonts w:eastAsia="SimSun"/>
          <w:i/>
          <w:szCs w:val="20"/>
          <w:lang w:val="en-US" w:eastAsia="zh-CN"/>
        </w:rPr>
      </w:pPr>
      <w:r w:rsidRPr="0014453B">
        <w:rPr>
          <w:i/>
          <w:szCs w:val="20"/>
        </w:rPr>
        <w:t>The time duration of the reference downlink resource for pre</w:t>
      </w:r>
      <w:r w:rsidRPr="0014453B">
        <w:rPr>
          <w:rFonts w:eastAsia="SimSun" w:hint="eastAsia"/>
          <w:i/>
          <w:szCs w:val="20"/>
          <w:lang w:eastAsia="zh-CN"/>
        </w:rPr>
        <w:t>-</w:t>
      </w:r>
      <w:r w:rsidRPr="0014453B">
        <w:rPr>
          <w:i/>
          <w:szCs w:val="20"/>
        </w:rPr>
        <w:t>emption indication equals to the monitoring periodicity of the group-common DCI carrying the pre</w:t>
      </w:r>
      <w:r w:rsidRPr="0014453B">
        <w:rPr>
          <w:rFonts w:eastAsia="SimSun" w:hint="eastAsia"/>
          <w:i/>
          <w:szCs w:val="20"/>
          <w:lang w:eastAsia="zh-CN"/>
        </w:rPr>
        <w:t>-</w:t>
      </w:r>
      <w:r w:rsidRPr="0014453B">
        <w:rPr>
          <w:i/>
          <w:szCs w:val="20"/>
        </w:rPr>
        <w:t>emption indication</w:t>
      </w:r>
      <w:r w:rsidRPr="0014453B">
        <w:rPr>
          <w:rFonts w:eastAsia="SimSun" w:hint="eastAsia"/>
          <w:i/>
          <w:szCs w:val="20"/>
          <w:lang w:eastAsia="zh-CN"/>
        </w:rPr>
        <w:t xml:space="preserve"> </w:t>
      </w:r>
    </w:p>
    <w:p w14:paraId="55848F40" w14:textId="77777777" w:rsidR="0014453B" w:rsidRPr="0014453B" w:rsidRDefault="0014453B" w:rsidP="0014453B">
      <w:pPr>
        <w:numPr>
          <w:ilvl w:val="4"/>
          <w:numId w:val="10"/>
        </w:numPr>
        <w:spacing w:after="0" w:line="240" w:lineRule="auto"/>
        <w:rPr>
          <w:rFonts w:eastAsia="SimSun"/>
          <w:i/>
          <w:szCs w:val="20"/>
          <w:lang w:val="en-US" w:eastAsia="zh-CN"/>
        </w:rPr>
      </w:pPr>
      <w:r w:rsidRPr="0014453B">
        <w:rPr>
          <w:rFonts w:eastAsia="SimSun" w:hint="eastAsia"/>
          <w:i/>
          <w:szCs w:val="20"/>
          <w:lang w:eastAsia="zh-CN"/>
        </w:rPr>
        <w:t xml:space="preserve">In TDD, at least the semi-statically configured UL symbols are excluded from the reference </w:t>
      </w:r>
      <w:r w:rsidRPr="0014453B">
        <w:rPr>
          <w:rFonts w:eastAsia="SimSun"/>
          <w:i/>
          <w:szCs w:val="20"/>
          <w:lang w:eastAsia="zh-CN"/>
        </w:rPr>
        <w:t>downlink</w:t>
      </w:r>
      <w:r w:rsidRPr="0014453B">
        <w:rPr>
          <w:rFonts w:eastAsia="SimSun" w:hint="eastAsia"/>
          <w:i/>
          <w:szCs w:val="20"/>
          <w:lang w:eastAsia="zh-CN"/>
        </w:rPr>
        <w:t xml:space="preserve"> resource</w:t>
      </w:r>
    </w:p>
    <w:p w14:paraId="5978636A" w14:textId="77777777" w:rsidR="0014453B" w:rsidRPr="0014453B" w:rsidRDefault="0014453B" w:rsidP="0014453B">
      <w:pPr>
        <w:numPr>
          <w:ilvl w:val="5"/>
          <w:numId w:val="10"/>
        </w:numPr>
        <w:spacing w:before="100" w:beforeAutospacing="1" w:after="100" w:afterAutospacing="1" w:line="240" w:lineRule="auto"/>
        <w:rPr>
          <w:rFonts w:eastAsia="SimSun"/>
          <w:i/>
          <w:szCs w:val="20"/>
          <w:lang w:val="en-US" w:eastAsia="zh-CN"/>
        </w:rPr>
      </w:pPr>
      <w:r w:rsidRPr="0014453B">
        <w:rPr>
          <w:rFonts w:eastAsia="SimSun" w:hint="eastAsia"/>
          <w:i/>
          <w:szCs w:val="20"/>
          <w:lang w:eastAsia="zh-CN"/>
        </w:rPr>
        <w:t xml:space="preserve">Note: This means the reference </w:t>
      </w:r>
      <w:r w:rsidRPr="0014453B">
        <w:rPr>
          <w:rFonts w:eastAsia="SimSun"/>
          <w:i/>
          <w:szCs w:val="20"/>
          <w:lang w:eastAsia="zh-CN"/>
        </w:rPr>
        <w:t>downlink</w:t>
      </w:r>
      <w:r w:rsidRPr="0014453B">
        <w:rPr>
          <w:rFonts w:eastAsia="SimSun" w:hint="eastAsia"/>
          <w:i/>
          <w:szCs w:val="20"/>
          <w:lang w:eastAsia="zh-CN"/>
        </w:rPr>
        <w:t xml:space="preserve"> resource only includes the DL or unknown symbols given by semi-static configuration within the semi-statically configured time duration of the reference </w:t>
      </w:r>
      <w:r w:rsidRPr="0014453B">
        <w:rPr>
          <w:rFonts w:eastAsia="SimSun"/>
          <w:i/>
          <w:szCs w:val="20"/>
          <w:lang w:eastAsia="zh-CN"/>
        </w:rPr>
        <w:t>downlink</w:t>
      </w:r>
      <w:r w:rsidRPr="0014453B">
        <w:rPr>
          <w:rFonts w:eastAsia="SimSun" w:hint="eastAsia"/>
          <w:i/>
          <w:szCs w:val="20"/>
          <w:lang w:eastAsia="zh-CN"/>
        </w:rPr>
        <w:t xml:space="preserve"> resource.</w:t>
      </w:r>
    </w:p>
    <w:p w14:paraId="7A8AB930" w14:textId="77777777" w:rsidR="0014453B" w:rsidRPr="0014453B" w:rsidRDefault="0014453B" w:rsidP="0014453B">
      <w:pPr>
        <w:numPr>
          <w:ilvl w:val="4"/>
          <w:numId w:val="10"/>
        </w:numPr>
        <w:spacing w:before="100" w:beforeAutospacing="1" w:after="100" w:afterAutospacing="1" w:line="240" w:lineRule="auto"/>
        <w:rPr>
          <w:rFonts w:eastAsia="SimSun"/>
          <w:i/>
          <w:szCs w:val="20"/>
          <w:lang w:val="en-US" w:eastAsia="zh-CN"/>
        </w:rPr>
      </w:pPr>
      <w:r w:rsidRPr="0014453B">
        <w:rPr>
          <w:rFonts w:eastAsia="SimSun" w:hint="eastAsia"/>
          <w:i/>
          <w:szCs w:val="20"/>
          <w:lang w:eastAsia="zh-CN"/>
        </w:rPr>
        <w:t>FFS for the handling of reserved resource especially at RE level</w:t>
      </w:r>
    </w:p>
    <w:p w14:paraId="31F62005" w14:textId="77777777" w:rsidR="00187E09" w:rsidRPr="0014453B" w:rsidRDefault="00187E09" w:rsidP="00187E09">
      <w:pPr>
        <w:spacing w:after="0" w:line="240" w:lineRule="auto"/>
        <w:rPr>
          <w:i/>
          <w:lang w:eastAsia="x-none"/>
        </w:rPr>
      </w:pPr>
    </w:p>
    <w:p w14:paraId="3A1FBD1A" w14:textId="77777777" w:rsidR="0014453B" w:rsidRPr="0014453B" w:rsidRDefault="0014453B" w:rsidP="0014453B">
      <w:pPr>
        <w:numPr>
          <w:ilvl w:val="3"/>
          <w:numId w:val="10"/>
        </w:numPr>
        <w:spacing w:after="0" w:line="240" w:lineRule="auto"/>
        <w:rPr>
          <w:rFonts w:eastAsia="SimSun"/>
          <w:i/>
          <w:szCs w:val="20"/>
          <w:lang w:val="en-US" w:eastAsia="zh-CN"/>
        </w:rPr>
      </w:pPr>
      <w:r w:rsidRPr="0014453B">
        <w:rPr>
          <w:rFonts w:eastAsia="SimSun" w:hint="eastAsia"/>
          <w:i/>
          <w:szCs w:val="20"/>
          <w:lang w:val="en-US" w:eastAsia="zh-CN"/>
        </w:rPr>
        <w:t>For minimum monitoring periodicity</w:t>
      </w:r>
      <w:r w:rsidRPr="0014453B">
        <w:rPr>
          <w:rFonts w:eastAsia="SimSun"/>
          <w:i/>
          <w:szCs w:val="20"/>
          <w:lang w:val="en-US" w:eastAsia="zh-CN"/>
        </w:rPr>
        <w:t xml:space="preserve"> of pre-emption indication</w:t>
      </w:r>
      <w:r w:rsidRPr="0014453B">
        <w:rPr>
          <w:rFonts w:eastAsia="SimSun" w:hint="eastAsia"/>
          <w:i/>
          <w:szCs w:val="20"/>
          <w:lang w:val="en-US" w:eastAsia="zh-CN"/>
        </w:rPr>
        <w:t>:</w:t>
      </w:r>
    </w:p>
    <w:p w14:paraId="6EA667FB" w14:textId="77777777" w:rsidR="0014453B" w:rsidRPr="0014453B" w:rsidRDefault="0014453B" w:rsidP="0014453B">
      <w:pPr>
        <w:numPr>
          <w:ilvl w:val="4"/>
          <w:numId w:val="10"/>
        </w:numPr>
        <w:spacing w:after="0" w:line="240" w:lineRule="auto"/>
        <w:rPr>
          <w:rFonts w:eastAsia="SimSun"/>
          <w:i/>
          <w:szCs w:val="20"/>
          <w:lang w:val="en-US" w:eastAsia="zh-CN"/>
        </w:rPr>
      </w:pPr>
      <w:r w:rsidRPr="0014453B">
        <w:rPr>
          <w:rFonts w:eastAsia="SimSun"/>
          <w:i/>
          <w:szCs w:val="20"/>
          <w:lang w:val="en-US" w:eastAsia="zh-CN"/>
        </w:rPr>
        <w:t>At least s</w:t>
      </w:r>
      <w:r w:rsidRPr="0014453B">
        <w:rPr>
          <w:rFonts w:eastAsia="SimSun" w:hint="eastAsia"/>
          <w:i/>
          <w:szCs w:val="20"/>
          <w:lang w:val="en-US" w:eastAsia="zh-CN"/>
        </w:rPr>
        <w:t>lot level monitoring periodicity of preemption indication is supported</w:t>
      </w:r>
    </w:p>
    <w:p w14:paraId="00F00AB6" w14:textId="77777777" w:rsidR="0014453B" w:rsidRPr="0014453B" w:rsidRDefault="0014453B" w:rsidP="0014453B">
      <w:pPr>
        <w:numPr>
          <w:ilvl w:val="4"/>
          <w:numId w:val="10"/>
        </w:numPr>
        <w:spacing w:after="0" w:line="240" w:lineRule="auto"/>
        <w:rPr>
          <w:rFonts w:eastAsia="SimSun"/>
          <w:i/>
          <w:szCs w:val="20"/>
          <w:lang w:val="en-US" w:eastAsia="zh-CN"/>
        </w:rPr>
      </w:pPr>
      <w:r w:rsidRPr="0014453B">
        <w:rPr>
          <w:rFonts w:eastAsia="SimSun"/>
          <w:i/>
          <w:szCs w:val="20"/>
          <w:lang w:val="en-US" w:eastAsia="zh-CN"/>
        </w:rPr>
        <w:t>FFS to additionally support other cases (e.g. non-slot level monitoring)</w:t>
      </w:r>
    </w:p>
    <w:p w14:paraId="36EF64EB" w14:textId="77777777" w:rsidR="0014453B" w:rsidRPr="0014453B" w:rsidRDefault="0014453B" w:rsidP="00187E09">
      <w:pPr>
        <w:spacing w:after="0" w:line="240" w:lineRule="auto"/>
        <w:rPr>
          <w:i/>
          <w:lang w:eastAsia="x-none"/>
        </w:rPr>
      </w:pPr>
    </w:p>
    <w:p w14:paraId="697F4A29" w14:textId="77777777" w:rsidR="0014453B" w:rsidRPr="0014453B" w:rsidRDefault="0014453B" w:rsidP="0014453B">
      <w:pPr>
        <w:numPr>
          <w:ilvl w:val="3"/>
          <w:numId w:val="10"/>
        </w:numPr>
        <w:spacing w:after="0" w:line="240" w:lineRule="auto"/>
        <w:rPr>
          <w:rFonts w:eastAsia="SimSun"/>
          <w:i/>
          <w:szCs w:val="20"/>
          <w:lang w:val="en-US" w:eastAsia="zh-CN"/>
        </w:rPr>
      </w:pPr>
      <w:r w:rsidRPr="0014453B">
        <w:rPr>
          <w:rFonts w:eastAsia="SimSun"/>
          <w:i/>
          <w:szCs w:val="20"/>
          <w:lang w:val="en-US" w:eastAsia="zh-CN"/>
        </w:rPr>
        <w:t xml:space="preserve">For slot level monitoring periodicity, </w:t>
      </w:r>
      <w:r w:rsidRPr="0014453B">
        <w:rPr>
          <w:rFonts w:eastAsia="SimSun" w:hint="eastAsia"/>
          <w:i/>
          <w:szCs w:val="20"/>
          <w:lang w:val="en-US" w:eastAsia="zh-CN"/>
        </w:rPr>
        <w:t>UE is not required to monitor preemption indication for a slot in which PDSCH is not scheduled</w:t>
      </w:r>
    </w:p>
    <w:p w14:paraId="534CFC62" w14:textId="77777777" w:rsidR="0014453B" w:rsidRPr="0014453B" w:rsidRDefault="0014453B" w:rsidP="0014453B">
      <w:pPr>
        <w:numPr>
          <w:ilvl w:val="3"/>
          <w:numId w:val="10"/>
        </w:numPr>
        <w:spacing w:after="0" w:line="240" w:lineRule="auto"/>
        <w:rPr>
          <w:rFonts w:eastAsia="SimSun"/>
          <w:i/>
          <w:szCs w:val="20"/>
          <w:lang w:val="en-US" w:eastAsia="zh-CN"/>
        </w:rPr>
      </w:pPr>
      <w:r w:rsidRPr="0014453B">
        <w:rPr>
          <w:rFonts w:eastAsia="SimSun" w:hint="eastAsia"/>
          <w:i/>
          <w:szCs w:val="20"/>
          <w:lang w:val="en-US" w:eastAsia="zh-CN"/>
        </w:rPr>
        <w:t xml:space="preserve">UE is not </w:t>
      </w:r>
      <w:r w:rsidRPr="0014453B">
        <w:rPr>
          <w:rFonts w:eastAsia="SimSun"/>
          <w:i/>
          <w:szCs w:val="20"/>
          <w:lang w:val="en-US" w:eastAsia="zh-CN"/>
        </w:rPr>
        <w:t>required</w:t>
      </w:r>
      <w:r w:rsidRPr="0014453B">
        <w:rPr>
          <w:rFonts w:eastAsia="SimSun" w:hint="eastAsia"/>
          <w:i/>
          <w:szCs w:val="20"/>
          <w:lang w:val="en-US" w:eastAsia="zh-CN"/>
        </w:rPr>
        <w:t xml:space="preserve"> to monitor preemption indication in DRX slots</w:t>
      </w:r>
    </w:p>
    <w:p w14:paraId="4B7B0E3F" w14:textId="77777777" w:rsidR="0014453B" w:rsidRPr="0014453B" w:rsidRDefault="0014453B" w:rsidP="0014453B">
      <w:pPr>
        <w:numPr>
          <w:ilvl w:val="3"/>
          <w:numId w:val="10"/>
        </w:numPr>
        <w:spacing w:after="0" w:line="240" w:lineRule="auto"/>
        <w:rPr>
          <w:rFonts w:eastAsia="SimSun"/>
          <w:i/>
          <w:szCs w:val="20"/>
          <w:lang w:val="en-US" w:eastAsia="zh-CN"/>
        </w:rPr>
      </w:pPr>
      <w:r w:rsidRPr="0014453B">
        <w:rPr>
          <w:rFonts w:eastAsia="SimSun" w:hint="eastAsia"/>
          <w:i/>
          <w:szCs w:val="20"/>
          <w:lang w:val="en-US" w:eastAsia="zh-CN"/>
        </w:rPr>
        <w:t>UE</w:t>
      </w:r>
      <w:r w:rsidRPr="0014453B">
        <w:rPr>
          <w:rFonts w:eastAsia="SimSun"/>
          <w:i/>
          <w:szCs w:val="20"/>
          <w:lang w:val="en-US" w:eastAsia="zh-CN"/>
        </w:rPr>
        <w:t xml:space="preserve"> is not required to</w:t>
      </w:r>
      <w:r w:rsidRPr="0014453B">
        <w:rPr>
          <w:rFonts w:eastAsia="SimSun" w:hint="eastAsia"/>
          <w:i/>
          <w:szCs w:val="20"/>
          <w:lang w:val="en-US" w:eastAsia="zh-CN"/>
        </w:rPr>
        <w:t xml:space="preserve"> monitor preemption indication </w:t>
      </w:r>
      <w:r w:rsidRPr="0014453B">
        <w:rPr>
          <w:rFonts w:eastAsia="SimSun"/>
          <w:i/>
          <w:szCs w:val="20"/>
          <w:lang w:val="en-US" w:eastAsia="zh-CN"/>
        </w:rPr>
        <w:t>for</w:t>
      </w:r>
      <w:r w:rsidRPr="0014453B">
        <w:rPr>
          <w:rFonts w:eastAsia="SimSun" w:hint="eastAsia"/>
          <w:i/>
          <w:szCs w:val="20"/>
          <w:lang w:val="en-US" w:eastAsia="zh-CN"/>
        </w:rPr>
        <w:t xml:space="preserve"> the </w:t>
      </w:r>
      <w:r w:rsidRPr="0014453B">
        <w:rPr>
          <w:rFonts w:eastAsia="SimSun"/>
          <w:i/>
          <w:szCs w:val="20"/>
          <w:lang w:val="en-US" w:eastAsia="zh-CN"/>
        </w:rPr>
        <w:t>de</w:t>
      </w:r>
      <w:r w:rsidRPr="0014453B">
        <w:rPr>
          <w:rFonts w:eastAsia="SimSun" w:hint="eastAsia"/>
          <w:i/>
          <w:szCs w:val="20"/>
          <w:lang w:val="en-US" w:eastAsia="zh-CN"/>
        </w:rPr>
        <w:t>activ</w:t>
      </w:r>
      <w:r w:rsidRPr="0014453B">
        <w:rPr>
          <w:rFonts w:eastAsia="SimSun"/>
          <w:i/>
          <w:szCs w:val="20"/>
          <w:lang w:val="en-US" w:eastAsia="zh-CN"/>
        </w:rPr>
        <w:t>at</w:t>
      </w:r>
      <w:r w:rsidRPr="0014453B">
        <w:rPr>
          <w:rFonts w:eastAsia="SimSun" w:hint="eastAsia"/>
          <w:i/>
          <w:szCs w:val="20"/>
          <w:lang w:val="en-US" w:eastAsia="zh-CN"/>
        </w:rPr>
        <w:t>e</w:t>
      </w:r>
      <w:r w:rsidRPr="0014453B">
        <w:rPr>
          <w:rFonts w:eastAsia="SimSun"/>
          <w:i/>
          <w:szCs w:val="20"/>
          <w:lang w:val="en-US" w:eastAsia="zh-CN"/>
        </w:rPr>
        <w:t>d</w:t>
      </w:r>
      <w:r w:rsidRPr="0014453B">
        <w:rPr>
          <w:rFonts w:eastAsia="SimSun" w:hint="eastAsia"/>
          <w:i/>
          <w:szCs w:val="20"/>
          <w:lang w:val="en-US" w:eastAsia="zh-CN"/>
        </w:rPr>
        <w:t xml:space="preserve"> DL BWP</w:t>
      </w:r>
    </w:p>
    <w:p w14:paraId="4ADE6E23" w14:textId="77777777" w:rsidR="0014453B" w:rsidRPr="0014453B" w:rsidRDefault="0014453B" w:rsidP="0014453B">
      <w:pPr>
        <w:numPr>
          <w:ilvl w:val="3"/>
          <w:numId w:val="10"/>
        </w:numPr>
        <w:spacing w:after="0" w:line="240" w:lineRule="auto"/>
        <w:rPr>
          <w:rFonts w:eastAsia="SimSun"/>
          <w:i/>
          <w:szCs w:val="20"/>
          <w:lang w:val="en-US" w:eastAsia="zh-CN"/>
        </w:rPr>
      </w:pPr>
      <w:r w:rsidRPr="0014453B">
        <w:rPr>
          <w:rFonts w:eastAsia="SimSun"/>
          <w:i/>
          <w:szCs w:val="20"/>
          <w:lang w:val="en-US" w:eastAsia="zh-CN"/>
        </w:rPr>
        <w:t>Note: not necessarily all of the above bullets will have spec impacts</w:t>
      </w:r>
    </w:p>
    <w:p w14:paraId="3F616B94" w14:textId="77777777" w:rsidR="0014453B" w:rsidRPr="0014453B" w:rsidRDefault="0014453B" w:rsidP="0014453B">
      <w:pPr>
        <w:spacing w:after="0" w:line="240" w:lineRule="auto"/>
        <w:ind w:left="786"/>
        <w:rPr>
          <w:rFonts w:eastAsia="SimSun"/>
          <w:i/>
          <w:szCs w:val="20"/>
          <w:lang w:val="en-US" w:eastAsia="zh-CN"/>
        </w:rPr>
      </w:pPr>
    </w:p>
    <w:p w14:paraId="33D9DB58" w14:textId="6CBA3A74" w:rsidR="0014453B" w:rsidRPr="0014453B" w:rsidRDefault="0014453B" w:rsidP="0014453B">
      <w:pPr>
        <w:numPr>
          <w:ilvl w:val="3"/>
          <w:numId w:val="10"/>
        </w:numPr>
        <w:spacing w:after="0" w:line="240" w:lineRule="auto"/>
        <w:rPr>
          <w:rFonts w:eastAsia="SimSun"/>
          <w:i/>
          <w:szCs w:val="20"/>
          <w:lang w:val="en-US" w:eastAsia="zh-CN"/>
        </w:rPr>
      </w:pPr>
      <w:r w:rsidRPr="0014453B">
        <w:rPr>
          <w:rFonts w:eastAsia="SimSun"/>
          <w:i/>
          <w:szCs w:val="20"/>
          <w:lang w:val="en-US" w:eastAsia="zh-CN"/>
        </w:rPr>
        <w:t>The HARQ timeline for a PDSCH transmission is not affected by preemption indication</w:t>
      </w:r>
    </w:p>
    <w:p w14:paraId="13D7ABC8" w14:textId="77777777" w:rsidR="0014453B" w:rsidRPr="0014453B" w:rsidRDefault="0014453B" w:rsidP="00187E09">
      <w:pPr>
        <w:spacing w:after="0" w:line="240" w:lineRule="auto"/>
        <w:rPr>
          <w:i/>
          <w:lang w:eastAsia="x-none"/>
        </w:rPr>
      </w:pPr>
    </w:p>
    <w:p w14:paraId="7E5A6528" w14:textId="77777777" w:rsidR="0014453B" w:rsidRPr="0014453B" w:rsidRDefault="0014453B" w:rsidP="0014453B">
      <w:pPr>
        <w:numPr>
          <w:ilvl w:val="3"/>
          <w:numId w:val="10"/>
        </w:numPr>
        <w:spacing w:after="0" w:line="240" w:lineRule="auto"/>
        <w:rPr>
          <w:rFonts w:eastAsia="Times New Roman"/>
          <w:i/>
          <w:szCs w:val="20"/>
          <w:lang w:eastAsia="zh-CN"/>
        </w:rPr>
      </w:pPr>
      <w:r w:rsidRPr="0014453B">
        <w:rPr>
          <w:rFonts w:eastAsia="Times New Roman"/>
          <w:i/>
          <w:szCs w:val="20"/>
          <w:lang w:eastAsia="zh-CN"/>
        </w:rPr>
        <w:t xml:space="preserve">No concensus to introduce an explicit RRC configuration for </w:t>
      </w:r>
      <w:r w:rsidRPr="0014453B">
        <w:rPr>
          <w:i/>
          <w:szCs w:val="20"/>
        </w:rPr>
        <w:t>frequency region of the reference downlink resource for pre</w:t>
      </w:r>
      <w:r w:rsidRPr="0014453B">
        <w:rPr>
          <w:rFonts w:eastAsia="SimSun" w:hint="eastAsia"/>
          <w:i/>
          <w:szCs w:val="20"/>
          <w:lang w:eastAsia="zh-CN"/>
        </w:rPr>
        <w:t>-</w:t>
      </w:r>
      <w:r w:rsidRPr="0014453B">
        <w:rPr>
          <w:i/>
          <w:szCs w:val="20"/>
        </w:rPr>
        <w:t>emption indication in Rel-15</w:t>
      </w:r>
    </w:p>
    <w:p w14:paraId="6CE79894" w14:textId="77777777" w:rsidR="0014453B" w:rsidRPr="0014453B" w:rsidRDefault="0014453B" w:rsidP="0014453B">
      <w:pPr>
        <w:numPr>
          <w:ilvl w:val="3"/>
          <w:numId w:val="10"/>
        </w:numPr>
        <w:spacing w:after="0" w:line="240" w:lineRule="auto"/>
        <w:rPr>
          <w:rFonts w:eastAsia="Times New Roman"/>
          <w:i/>
          <w:szCs w:val="20"/>
          <w:lang w:eastAsia="zh-CN"/>
        </w:rPr>
      </w:pPr>
      <w:r w:rsidRPr="0014453B">
        <w:rPr>
          <w:i/>
          <w:szCs w:val="20"/>
        </w:rPr>
        <w:t>(working assumption) the frequency region of the reference downlink resource for pre-emption indication is the active DL BWP</w:t>
      </w:r>
    </w:p>
    <w:p w14:paraId="0DF44774" w14:textId="77777777" w:rsidR="0014453B" w:rsidRPr="0014453B" w:rsidRDefault="0014453B" w:rsidP="0014453B">
      <w:pPr>
        <w:spacing w:after="0" w:line="240" w:lineRule="auto"/>
        <w:ind w:left="786"/>
        <w:rPr>
          <w:rFonts w:eastAsia="Times New Roman"/>
          <w:i/>
          <w:szCs w:val="20"/>
          <w:lang w:eastAsia="zh-CN"/>
        </w:rPr>
      </w:pPr>
    </w:p>
    <w:p w14:paraId="24F58A22" w14:textId="4441089D" w:rsidR="0014453B" w:rsidRPr="0014453B" w:rsidRDefault="0014453B" w:rsidP="0014453B">
      <w:pPr>
        <w:numPr>
          <w:ilvl w:val="3"/>
          <w:numId w:val="10"/>
        </w:numPr>
        <w:spacing w:after="0" w:line="240" w:lineRule="auto"/>
        <w:rPr>
          <w:rFonts w:eastAsia="Times New Roman"/>
          <w:i/>
          <w:szCs w:val="20"/>
          <w:lang w:eastAsia="zh-CN"/>
        </w:rPr>
      </w:pPr>
      <w:r w:rsidRPr="0014453B">
        <w:rPr>
          <w:rFonts w:eastAsia="Times New Roman"/>
          <w:i/>
          <w:szCs w:val="20"/>
          <w:lang w:eastAsia="zh-CN"/>
        </w:rPr>
        <w:t>A fixed payload size (excluding CRC and potential reserved bits) of the group-common DCI carrying the downlink pre-emption indication (PI), in the format of a bitmap is used to indicate preempted resources within the semi-statically configured DL reference resource</w:t>
      </w:r>
    </w:p>
    <w:p w14:paraId="0CAE225A" w14:textId="77777777" w:rsidR="0014453B" w:rsidRPr="0014453B" w:rsidRDefault="0014453B" w:rsidP="0014453B">
      <w:pPr>
        <w:numPr>
          <w:ilvl w:val="1"/>
          <w:numId w:val="14"/>
        </w:numPr>
        <w:spacing w:after="180" w:line="240" w:lineRule="auto"/>
        <w:rPr>
          <w:rFonts w:eastAsia="Times New Roman"/>
          <w:i/>
          <w:szCs w:val="20"/>
          <w:lang w:val="en-US" w:eastAsia="zh-CN"/>
        </w:rPr>
      </w:pPr>
      <w:r w:rsidRPr="0014453B">
        <w:rPr>
          <w:rFonts w:eastAsia="Times New Roman"/>
          <w:i/>
          <w:szCs w:val="20"/>
          <w:lang w:val="en-US" w:eastAsia="zh-CN"/>
        </w:rPr>
        <w:t>The bitmap indicates for one or more frequency domain parts (N&gt;=1) and/or one or more time domain parts (M&gt;=1)</w:t>
      </w:r>
    </w:p>
    <w:p w14:paraId="0F688441" w14:textId="77777777" w:rsidR="0014453B" w:rsidRPr="0014453B" w:rsidRDefault="0014453B" w:rsidP="0014453B">
      <w:pPr>
        <w:numPr>
          <w:ilvl w:val="2"/>
          <w:numId w:val="14"/>
        </w:numPr>
        <w:spacing w:after="180" w:line="240" w:lineRule="auto"/>
        <w:rPr>
          <w:rFonts w:eastAsia="Times New Roman"/>
          <w:i/>
          <w:szCs w:val="20"/>
          <w:lang w:val="en-US" w:eastAsia="zh-CN"/>
        </w:rPr>
      </w:pPr>
      <w:r w:rsidRPr="0014453B">
        <w:rPr>
          <w:rFonts w:eastAsia="Times New Roman"/>
          <w:i/>
          <w:szCs w:val="20"/>
          <w:lang w:val="en-US" w:eastAsia="zh-CN"/>
        </w:rPr>
        <w:t>There is no RRC configuration involved in determining the frequency or time-domain parts</w:t>
      </w:r>
    </w:p>
    <w:p w14:paraId="37A675E0" w14:textId="77777777" w:rsidR="0014453B" w:rsidRPr="0014453B" w:rsidRDefault="0014453B" w:rsidP="0014453B">
      <w:pPr>
        <w:numPr>
          <w:ilvl w:val="1"/>
          <w:numId w:val="14"/>
        </w:numPr>
        <w:spacing w:after="180" w:line="240" w:lineRule="auto"/>
        <w:rPr>
          <w:rFonts w:eastAsia="Times New Roman"/>
          <w:i/>
          <w:szCs w:val="20"/>
          <w:lang w:val="en-US" w:eastAsia="zh-CN"/>
        </w:rPr>
      </w:pPr>
      <w:r w:rsidRPr="0014453B">
        <w:rPr>
          <w:rFonts w:eastAsia="Times New Roman"/>
          <w:i/>
          <w:szCs w:val="20"/>
          <w:lang w:val="en-US" w:eastAsia="zh-CN"/>
        </w:rPr>
        <w:t>The following combinations are supported and predefined {M, N} = {14, 1}, {7, 2}</w:t>
      </w:r>
    </w:p>
    <w:p w14:paraId="0804D810" w14:textId="77777777" w:rsidR="0014453B" w:rsidRPr="009567AA" w:rsidRDefault="0014453B" w:rsidP="0014453B">
      <w:pPr>
        <w:numPr>
          <w:ilvl w:val="1"/>
          <w:numId w:val="14"/>
        </w:numPr>
        <w:spacing w:after="180" w:line="240" w:lineRule="auto"/>
        <w:rPr>
          <w:rFonts w:eastAsia="Times New Roman"/>
          <w:szCs w:val="20"/>
          <w:lang w:val="en-US" w:eastAsia="zh-CN"/>
        </w:rPr>
      </w:pPr>
      <w:r w:rsidRPr="0014453B">
        <w:rPr>
          <w:rFonts w:eastAsia="Times New Roman" w:hint="eastAsia"/>
          <w:i/>
          <w:szCs w:val="20"/>
          <w:lang w:val="en-US" w:eastAsia="zh-CN"/>
        </w:rPr>
        <w:t xml:space="preserve">A combination of {M,N} from this set of possible {M,N} is </w:t>
      </w:r>
      <w:r w:rsidRPr="0014453B">
        <w:rPr>
          <w:rFonts w:eastAsia="Times New Roman"/>
          <w:i/>
          <w:szCs w:val="20"/>
          <w:lang w:val="en-US" w:eastAsia="zh-CN"/>
        </w:rPr>
        <w:t>indicated 1</w:t>
      </w:r>
      <w:r w:rsidRPr="0014453B">
        <w:rPr>
          <w:rFonts w:eastAsia="Times New Roman" w:hint="eastAsia"/>
          <w:i/>
          <w:szCs w:val="20"/>
          <w:lang w:val="en-US" w:eastAsia="zh-CN"/>
        </w:rPr>
        <w:t>bit</w:t>
      </w:r>
      <w:r w:rsidRPr="0014453B">
        <w:rPr>
          <w:rFonts w:eastAsia="Times New Roman"/>
          <w:i/>
          <w:szCs w:val="20"/>
          <w:lang w:val="en-US" w:eastAsia="zh-CN"/>
        </w:rPr>
        <w:t xml:space="preserve"> by RRC configuration for a UE</w:t>
      </w:r>
    </w:p>
    <w:p w14:paraId="31496A90" w14:textId="77777777" w:rsidR="0014453B" w:rsidRDefault="0014453B" w:rsidP="00187E09">
      <w:pPr>
        <w:spacing w:after="0" w:line="240" w:lineRule="auto"/>
        <w:rPr>
          <w:lang w:eastAsia="x-none"/>
        </w:rPr>
      </w:pPr>
    </w:p>
    <w:p w14:paraId="6025AA25" w14:textId="5CFDEB2B" w:rsidR="00187E09" w:rsidRDefault="0014453B" w:rsidP="00226014">
      <w:pPr>
        <w:jc w:val="both"/>
        <w:rPr>
          <w:rFonts w:eastAsia="MS Mincho"/>
          <w:lang w:val="en-US"/>
        </w:rPr>
      </w:pPr>
      <w:r>
        <w:rPr>
          <w:rFonts w:eastAsia="MS Mincho"/>
          <w:lang w:val="en-US"/>
        </w:rPr>
        <w:t xml:space="preserve">This contribution discusses remaining issues on PI, namely </w:t>
      </w:r>
      <w:r w:rsidR="00F92AC1">
        <w:rPr>
          <w:rFonts w:eastAsia="MS Mincho"/>
          <w:lang w:val="en-US"/>
        </w:rPr>
        <w:t>frequency and time aspect</w:t>
      </w:r>
      <w:r w:rsidR="008C6D63">
        <w:rPr>
          <w:rFonts w:eastAsia="MS Mincho"/>
          <w:lang w:val="en-US"/>
        </w:rPr>
        <w:t>s</w:t>
      </w:r>
      <w:r w:rsidR="00F92AC1">
        <w:rPr>
          <w:rFonts w:eastAsia="MS Mincho"/>
          <w:lang w:val="en-US"/>
        </w:rPr>
        <w:t xml:space="preserve"> of the</w:t>
      </w:r>
      <w:r>
        <w:rPr>
          <w:rFonts w:eastAsia="MS Mincho"/>
          <w:lang w:val="en-US"/>
        </w:rPr>
        <w:t xml:space="preserve"> RDR, UE behavior</w:t>
      </w:r>
      <w:r w:rsidR="00F92AC1">
        <w:rPr>
          <w:rFonts w:eastAsia="MS Mincho"/>
          <w:lang w:val="en-US"/>
        </w:rPr>
        <w:t xml:space="preserve"> during </w:t>
      </w:r>
      <w:r w:rsidR="008C6D63">
        <w:rPr>
          <w:rFonts w:eastAsia="MS Mincho"/>
          <w:lang w:val="en-US"/>
        </w:rPr>
        <w:t xml:space="preserve">the </w:t>
      </w:r>
      <w:r w:rsidR="00F92AC1">
        <w:rPr>
          <w:rFonts w:eastAsia="MS Mincho"/>
          <w:lang w:val="en-US"/>
        </w:rPr>
        <w:t>HARQ timeline</w:t>
      </w:r>
      <w:r w:rsidR="00051CC9">
        <w:rPr>
          <w:rFonts w:eastAsia="MS Mincho"/>
          <w:lang w:val="en-US"/>
        </w:rPr>
        <w:t xml:space="preserve"> and</w:t>
      </w:r>
      <w:r>
        <w:rPr>
          <w:rFonts w:eastAsia="MS Mincho"/>
          <w:lang w:val="en-US"/>
        </w:rPr>
        <w:t xml:space="preserve"> collision with DMRS.</w:t>
      </w:r>
    </w:p>
    <w:p w14:paraId="434C199A" w14:textId="6D7539FD" w:rsidR="00226014" w:rsidRDefault="0014453B" w:rsidP="00226014">
      <w:pPr>
        <w:pStyle w:val="Heading1"/>
        <w:numPr>
          <w:ilvl w:val="0"/>
          <w:numId w:val="9"/>
        </w:numPr>
        <w:spacing w:after="120"/>
        <w:ind w:left="357" w:hanging="357"/>
      </w:pPr>
      <w:r>
        <w:t>Discussion</w:t>
      </w:r>
    </w:p>
    <w:p w14:paraId="53509E22" w14:textId="0D0E7047" w:rsidR="00F92AC1" w:rsidRDefault="00F92AC1" w:rsidP="00F92AC1">
      <w:pPr>
        <w:pStyle w:val="Heading2"/>
        <w:numPr>
          <w:ilvl w:val="1"/>
          <w:numId w:val="9"/>
        </w:numPr>
        <w:rPr>
          <w:rFonts w:eastAsia="MS Mincho"/>
          <w:lang w:val="en-US"/>
        </w:rPr>
      </w:pPr>
      <w:r w:rsidRPr="00F92AC1">
        <w:rPr>
          <w:rFonts w:eastAsia="MS Mincho"/>
          <w:lang w:val="en-US"/>
        </w:rPr>
        <w:t>Reference Downlink Region</w:t>
      </w:r>
    </w:p>
    <w:p w14:paraId="047DBFB8" w14:textId="2AEDE6D6" w:rsidR="008C7C1C" w:rsidRDefault="000B4A2B" w:rsidP="0014453B">
      <w:pPr>
        <w:rPr>
          <w:rFonts w:eastAsia="MS Mincho"/>
          <w:lang w:val="en-US"/>
        </w:rPr>
      </w:pPr>
      <w:r>
        <w:rPr>
          <w:rFonts w:eastAsia="MS Mincho"/>
          <w:lang w:val="en-US"/>
        </w:rPr>
        <w:t>The PI covers a Reference Downlink Region (RDR) where the duration in time is equal to the periodicity of the GC-DCI carrying the PI and in the frequency domain, it is the same as the UE’s BWP.  As noted in [1], BWP is UE specific whilst GC-DCI is group specific and hence ghost pre-emption may occur if at least two UEs with different BWP</w:t>
      </w:r>
      <w:r w:rsidR="008C6D63">
        <w:rPr>
          <w:rFonts w:eastAsia="MS Mincho"/>
          <w:lang w:val="en-US"/>
        </w:rPr>
        <w:t>s</w:t>
      </w:r>
      <w:r>
        <w:rPr>
          <w:rFonts w:eastAsia="MS Mincho"/>
          <w:lang w:val="en-US"/>
        </w:rPr>
        <w:t xml:space="preserve"> share the same GC-DCI and PI.  An example is shown in </w:t>
      </w:r>
      <w:r>
        <w:rPr>
          <w:rFonts w:eastAsia="MS Mincho"/>
          <w:lang w:val="en-US"/>
        </w:rPr>
        <w:fldChar w:fldCharType="begin"/>
      </w:r>
      <w:r>
        <w:rPr>
          <w:rFonts w:eastAsia="MS Mincho"/>
          <w:lang w:val="en-US"/>
        </w:rPr>
        <w:instrText xml:space="preserve"> REF _Ref497920522 \h </w:instrText>
      </w:r>
      <w:r>
        <w:rPr>
          <w:rFonts w:eastAsia="MS Mincho"/>
          <w:lang w:val="en-US"/>
        </w:rPr>
      </w:r>
      <w:r>
        <w:rPr>
          <w:rFonts w:eastAsia="MS Mincho"/>
          <w:lang w:val="en-US"/>
        </w:rPr>
        <w:fldChar w:fldCharType="separate"/>
      </w:r>
      <w:r w:rsidR="00EF15E6">
        <w:t xml:space="preserve">Figure </w:t>
      </w:r>
      <w:r w:rsidR="00EF15E6">
        <w:rPr>
          <w:noProof/>
        </w:rPr>
        <w:t>1</w:t>
      </w:r>
      <w:r>
        <w:rPr>
          <w:rFonts w:eastAsia="MS Mincho"/>
          <w:lang w:val="en-US"/>
        </w:rPr>
        <w:fldChar w:fldCharType="end"/>
      </w:r>
      <w:r w:rsidR="002D57B0">
        <w:rPr>
          <w:rFonts w:eastAsia="MS Mincho"/>
          <w:lang w:val="en-US"/>
        </w:rPr>
        <w:t xml:space="preserve"> where UE1’s BWP is from </w:t>
      </w:r>
      <w:r w:rsidR="002D57B0" w:rsidRPr="002D57B0">
        <w:rPr>
          <w:rFonts w:eastAsia="MS Mincho"/>
          <w:i/>
          <w:lang w:val="en-US"/>
        </w:rPr>
        <w:t>f</w:t>
      </w:r>
      <w:r w:rsidR="00CA3B08">
        <w:rPr>
          <w:rFonts w:eastAsia="MS Mincho"/>
          <w:vertAlign w:val="subscript"/>
          <w:lang w:val="en-US"/>
        </w:rPr>
        <w:t>3</w:t>
      </w:r>
      <w:r w:rsidR="002D57B0">
        <w:rPr>
          <w:rFonts w:eastAsia="MS Mincho"/>
          <w:lang w:val="en-US"/>
        </w:rPr>
        <w:t xml:space="preserve"> to </w:t>
      </w:r>
      <w:r w:rsidR="002D57B0" w:rsidRPr="002D57B0">
        <w:rPr>
          <w:rFonts w:eastAsia="MS Mincho"/>
          <w:i/>
          <w:lang w:val="en-US"/>
        </w:rPr>
        <w:t>f</w:t>
      </w:r>
      <w:r w:rsidR="00CA3B08">
        <w:rPr>
          <w:rFonts w:eastAsia="MS Mincho"/>
          <w:vertAlign w:val="subscript"/>
          <w:lang w:val="en-US"/>
        </w:rPr>
        <w:t>5</w:t>
      </w:r>
      <w:r w:rsidR="002D57B0">
        <w:rPr>
          <w:rFonts w:eastAsia="MS Mincho"/>
          <w:lang w:val="en-US"/>
        </w:rPr>
        <w:t xml:space="preserve"> and UE2’s BWP is from </w:t>
      </w:r>
      <w:r w:rsidR="002D57B0" w:rsidRPr="002D57B0">
        <w:rPr>
          <w:rFonts w:eastAsia="MS Mincho"/>
          <w:i/>
          <w:lang w:val="en-US"/>
        </w:rPr>
        <w:t>f</w:t>
      </w:r>
      <w:r w:rsidR="002D57B0" w:rsidRPr="002D57B0">
        <w:rPr>
          <w:rFonts w:eastAsia="MS Mincho"/>
          <w:vertAlign w:val="subscript"/>
          <w:lang w:val="en-US"/>
        </w:rPr>
        <w:t>1</w:t>
      </w:r>
      <w:r w:rsidR="002D57B0">
        <w:rPr>
          <w:rFonts w:eastAsia="MS Mincho"/>
          <w:lang w:val="en-US"/>
        </w:rPr>
        <w:t xml:space="preserve"> to </w:t>
      </w:r>
      <w:r w:rsidR="002D57B0" w:rsidRPr="002D57B0">
        <w:rPr>
          <w:rFonts w:eastAsia="MS Mincho"/>
          <w:i/>
          <w:lang w:val="en-US"/>
        </w:rPr>
        <w:t>f</w:t>
      </w:r>
      <w:r w:rsidR="00CA3B08">
        <w:rPr>
          <w:rFonts w:eastAsia="MS Mincho"/>
          <w:vertAlign w:val="subscript"/>
          <w:lang w:val="en-US"/>
        </w:rPr>
        <w:t>5</w:t>
      </w:r>
      <w:r w:rsidR="00CA3B08">
        <w:rPr>
          <w:rFonts w:eastAsia="MS Mincho"/>
          <w:lang w:val="en-US"/>
        </w:rPr>
        <w:t xml:space="preserve">, i.e. UE2’s BWP overlaps that of UE1. </w:t>
      </w:r>
      <w:r w:rsidR="002D57B0">
        <w:rPr>
          <w:rFonts w:eastAsia="MS Mincho"/>
          <w:lang w:val="en-US"/>
        </w:rPr>
        <w:t xml:space="preserve"> If UE1 and UE2 shares the same PI carried by a GC-DCI, then the bitmap used by the PI would be interpreted differently by both UEs. </w:t>
      </w:r>
      <w:r w:rsidR="00BB6934">
        <w:rPr>
          <w:rFonts w:eastAsia="MS Mincho"/>
          <w:lang w:val="en-US"/>
        </w:rPr>
        <w:t xml:space="preserve"> </w:t>
      </w:r>
      <w:r w:rsidR="002D57B0">
        <w:rPr>
          <w:rFonts w:eastAsia="MS Mincho"/>
          <w:lang w:val="en-US"/>
        </w:rPr>
        <w:t>In the exampl</w:t>
      </w:r>
      <w:r w:rsidR="00CA3B08">
        <w:rPr>
          <w:rFonts w:eastAsia="MS Mincho"/>
          <w:lang w:val="en-US"/>
        </w:rPr>
        <w:t>e if a pre-emption occurs in UE2</w:t>
      </w:r>
      <w:r w:rsidR="002D57B0">
        <w:rPr>
          <w:rFonts w:eastAsia="MS Mincho"/>
          <w:lang w:val="en-US"/>
        </w:rPr>
        <w:t>’</w:t>
      </w:r>
      <w:r w:rsidR="00BB6934">
        <w:rPr>
          <w:rFonts w:eastAsia="MS Mincho"/>
          <w:lang w:val="en-US"/>
        </w:rPr>
        <w:t xml:space="preserve">s BWP, i.e. between </w:t>
      </w:r>
      <w:r w:rsidR="00BB6934" w:rsidRPr="00BB6934">
        <w:rPr>
          <w:rFonts w:eastAsia="MS Mincho"/>
          <w:i/>
          <w:lang w:val="en-US"/>
        </w:rPr>
        <w:t>f</w:t>
      </w:r>
      <w:r w:rsidR="00CA3B08">
        <w:rPr>
          <w:rFonts w:eastAsia="MS Mincho"/>
          <w:vertAlign w:val="subscript"/>
          <w:lang w:val="en-US"/>
        </w:rPr>
        <w:t>1</w:t>
      </w:r>
      <w:r w:rsidR="00BB6934">
        <w:rPr>
          <w:rFonts w:eastAsia="MS Mincho"/>
          <w:lang w:val="en-US"/>
        </w:rPr>
        <w:t xml:space="preserve"> and </w:t>
      </w:r>
      <w:r w:rsidR="00BB6934" w:rsidRPr="00BB6934">
        <w:rPr>
          <w:rFonts w:eastAsia="MS Mincho"/>
          <w:i/>
          <w:lang w:val="en-US"/>
        </w:rPr>
        <w:t>f</w:t>
      </w:r>
      <w:r w:rsidR="00CA3B08">
        <w:rPr>
          <w:rFonts w:eastAsia="MS Mincho"/>
          <w:vertAlign w:val="subscript"/>
          <w:lang w:val="en-US"/>
        </w:rPr>
        <w:t>2</w:t>
      </w:r>
      <w:r w:rsidR="00BB6934">
        <w:rPr>
          <w:rFonts w:eastAsia="MS Mincho"/>
          <w:lang w:val="en-US"/>
        </w:rPr>
        <w:t>, the UE</w:t>
      </w:r>
      <w:r w:rsidR="00CA3B08">
        <w:rPr>
          <w:rFonts w:eastAsia="MS Mincho"/>
          <w:lang w:val="en-US"/>
        </w:rPr>
        <w:t>2 would correctly interpret</w:t>
      </w:r>
      <w:r w:rsidR="00BB6934">
        <w:rPr>
          <w:rFonts w:eastAsia="MS Mincho"/>
          <w:lang w:val="en-US"/>
        </w:rPr>
        <w:t xml:space="preserve"> the PI but UE</w:t>
      </w:r>
      <w:r w:rsidR="00CA3B08">
        <w:rPr>
          <w:rFonts w:eastAsia="MS Mincho"/>
          <w:lang w:val="en-US"/>
        </w:rPr>
        <w:t>1</w:t>
      </w:r>
      <w:r w:rsidR="00BB6934">
        <w:rPr>
          <w:rFonts w:eastAsia="MS Mincho"/>
          <w:lang w:val="en-US"/>
        </w:rPr>
        <w:t xml:space="preserve"> would </w:t>
      </w:r>
      <w:r w:rsidR="00CA3B08">
        <w:rPr>
          <w:rFonts w:eastAsia="MS Mincho"/>
          <w:lang w:val="en-US"/>
        </w:rPr>
        <w:t xml:space="preserve">incorrectly interpret that </w:t>
      </w:r>
      <w:r w:rsidR="008C6D63">
        <w:rPr>
          <w:rFonts w:eastAsia="MS Mincho"/>
          <w:lang w:val="en-US"/>
        </w:rPr>
        <w:t xml:space="preserve">the </w:t>
      </w:r>
      <w:r w:rsidR="00CA3B08">
        <w:rPr>
          <w:rFonts w:eastAsia="MS Mincho"/>
          <w:lang w:val="en-US"/>
        </w:rPr>
        <w:t xml:space="preserve">lower left hand corner of its BWP, i.e. between </w:t>
      </w:r>
      <w:r w:rsidR="00CA3B08" w:rsidRPr="00CA3B08">
        <w:rPr>
          <w:rFonts w:eastAsia="MS Mincho"/>
          <w:i/>
          <w:lang w:val="en-US"/>
        </w:rPr>
        <w:t>f</w:t>
      </w:r>
      <w:r w:rsidR="00CA3B08" w:rsidRPr="00CA3B08">
        <w:rPr>
          <w:rFonts w:eastAsia="MS Mincho"/>
          <w:vertAlign w:val="subscript"/>
          <w:lang w:val="en-US"/>
        </w:rPr>
        <w:t>3</w:t>
      </w:r>
      <w:r w:rsidR="00CA3B08">
        <w:rPr>
          <w:rFonts w:eastAsia="MS Mincho"/>
          <w:lang w:val="en-US"/>
        </w:rPr>
        <w:t xml:space="preserve"> and </w:t>
      </w:r>
      <w:r w:rsidR="00CA3B08" w:rsidRPr="00CA3B08">
        <w:rPr>
          <w:rFonts w:eastAsia="MS Mincho"/>
          <w:i/>
          <w:lang w:val="en-US"/>
        </w:rPr>
        <w:t>f</w:t>
      </w:r>
      <w:r w:rsidR="00CA3B08" w:rsidRPr="00CA3B08">
        <w:rPr>
          <w:rFonts w:eastAsia="MS Mincho"/>
          <w:vertAlign w:val="subscript"/>
          <w:lang w:val="en-US"/>
        </w:rPr>
        <w:t>4</w:t>
      </w:r>
      <w:r w:rsidR="00CA3B08">
        <w:rPr>
          <w:rFonts w:eastAsia="MS Mincho"/>
          <w:lang w:val="en-US"/>
        </w:rPr>
        <w:t xml:space="preserve"> </w:t>
      </w:r>
      <w:r w:rsidR="00BB6934">
        <w:rPr>
          <w:rFonts w:eastAsia="MS Mincho"/>
          <w:lang w:val="en-US"/>
        </w:rPr>
        <w:t>is pre-empted and would therefore experience ghost pre-emption, i.e. PI indicated a pre-emption that is not there.</w:t>
      </w:r>
    </w:p>
    <w:p w14:paraId="72F38A78" w14:textId="4E20B71C" w:rsidR="000B4A2B" w:rsidRDefault="00CA3B08" w:rsidP="000B4A2B">
      <w:pPr>
        <w:jc w:val="center"/>
        <w:rPr>
          <w:rFonts w:eastAsia="MS Mincho"/>
          <w:b/>
          <w:lang w:val="en-US"/>
        </w:rPr>
      </w:pPr>
      <w:r>
        <w:rPr>
          <w:rFonts w:eastAsia="MS Mincho"/>
          <w:b/>
          <w:noProof/>
          <w:lang w:eastAsia="en-GB"/>
        </w:rPr>
        <w:drawing>
          <wp:inline distT="0" distB="0" distL="0" distR="0" wp14:anchorId="1695181F" wp14:editId="14A66295">
            <wp:extent cx="3767455" cy="27920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67455" cy="2792095"/>
                    </a:xfrm>
                    <a:prstGeom prst="rect">
                      <a:avLst/>
                    </a:prstGeom>
                    <a:noFill/>
                  </pic:spPr>
                </pic:pic>
              </a:graphicData>
            </a:graphic>
          </wp:inline>
        </w:drawing>
      </w:r>
    </w:p>
    <w:p w14:paraId="59B6255F" w14:textId="35FBFA74" w:rsidR="000B4A2B" w:rsidRDefault="000B4A2B" w:rsidP="000B4A2B">
      <w:pPr>
        <w:pStyle w:val="Caption"/>
        <w:jc w:val="center"/>
      </w:pPr>
      <w:bookmarkStart w:id="13" w:name="_Ref497920522"/>
      <w:r>
        <w:t xml:space="preserve">Figure </w:t>
      </w:r>
      <w:r w:rsidR="000860EC">
        <w:fldChar w:fldCharType="begin"/>
      </w:r>
      <w:r w:rsidR="000860EC">
        <w:instrText xml:space="preserve"> SEQ Figure \*</w:instrText>
      </w:r>
      <w:r w:rsidR="000860EC">
        <w:instrText xml:space="preserve"> ARABIC </w:instrText>
      </w:r>
      <w:r w:rsidR="000860EC">
        <w:fldChar w:fldCharType="separate"/>
      </w:r>
      <w:r w:rsidR="00EF15E6">
        <w:rPr>
          <w:noProof/>
        </w:rPr>
        <w:t>1</w:t>
      </w:r>
      <w:r w:rsidR="000860EC">
        <w:rPr>
          <w:noProof/>
        </w:rPr>
        <w:fldChar w:fldCharType="end"/>
      </w:r>
      <w:bookmarkEnd w:id="13"/>
      <w:r>
        <w:t>: Ghost pre-emption due to UE with different BWP sharing the same GC-DCI</w:t>
      </w:r>
    </w:p>
    <w:p w14:paraId="1EC3FDCC" w14:textId="03BD5FA9" w:rsidR="000B4A2B" w:rsidRPr="00BB6934" w:rsidRDefault="00BB6934" w:rsidP="000B4A2B">
      <w:pPr>
        <w:rPr>
          <w:b/>
        </w:rPr>
      </w:pPr>
      <w:r w:rsidRPr="00BB6934">
        <w:rPr>
          <w:b/>
        </w:rPr>
        <w:t xml:space="preserve">Observation 1: Since BWP is UE specific but PI is carried by GC-DCI, ghost pre-emption, where the PI </w:t>
      </w:r>
      <w:r w:rsidR="008C6D63" w:rsidRPr="00BB6934">
        <w:rPr>
          <w:b/>
        </w:rPr>
        <w:t>indicate</w:t>
      </w:r>
      <w:r w:rsidR="008C6D63">
        <w:rPr>
          <w:b/>
        </w:rPr>
        <w:t>s</w:t>
      </w:r>
      <w:r w:rsidR="008C6D63" w:rsidRPr="00BB6934">
        <w:rPr>
          <w:b/>
        </w:rPr>
        <w:t xml:space="preserve"> </w:t>
      </w:r>
      <w:r w:rsidRPr="00BB6934">
        <w:rPr>
          <w:b/>
        </w:rPr>
        <w:t>a pre-emption that does not exist</w:t>
      </w:r>
      <w:r w:rsidR="008C6D63">
        <w:rPr>
          <w:b/>
        </w:rPr>
        <w:t>,</w:t>
      </w:r>
      <w:r w:rsidRPr="00BB6934">
        <w:rPr>
          <w:b/>
        </w:rPr>
        <w:t xml:space="preserve"> may occur.</w:t>
      </w:r>
    </w:p>
    <w:p w14:paraId="3FC0D1F9" w14:textId="77777777" w:rsidR="00BB6934" w:rsidRDefault="00BB6934" w:rsidP="000B4A2B"/>
    <w:p w14:paraId="45783934" w14:textId="130B878D" w:rsidR="00BB6934" w:rsidRDefault="00BB6934" w:rsidP="000B4A2B">
      <w:r>
        <w:t xml:space="preserve">To avoid ghost pre-emption, the PI cannot indicate pre-emptions that </w:t>
      </w:r>
      <w:r w:rsidR="008C6D63">
        <w:t xml:space="preserve">are </w:t>
      </w:r>
      <w:r>
        <w:t>outside the frequency domain of the UE’s BWP.  In Rel-15 this can be handled by ensuring that the eNB never configures a GC-DCI for UEs with different BWP</w:t>
      </w:r>
      <w:r w:rsidR="008C6D63">
        <w:t>s</w:t>
      </w:r>
      <w:r>
        <w:t>.</w:t>
      </w:r>
    </w:p>
    <w:p w14:paraId="6A1DCFEC" w14:textId="3C5BE5B1" w:rsidR="00FE30F6" w:rsidRDefault="00FE30F6" w:rsidP="000B4A2B">
      <w:pPr>
        <w:rPr>
          <w:b/>
        </w:rPr>
      </w:pPr>
      <w:r>
        <w:rPr>
          <w:b/>
        </w:rPr>
        <w:t xml:space="preserve">Proposal 1: In Rel-15, the PI cannot </w:t>
      </w:r>
      <w:r w:rsidR="0030400A">
        <w:rPr>
          <w:b/>
        </w:rPr>
        <w:t xml:space="preserve">be configured to </w:t>
      </w:r>
      <w:r>
        <w:rPr>
          <w:b/>
        </w:rPr>
        <w:t xml:space="preserve">indicate pre-emptions that </w:t>
      </w:r>
      <w:r w:rsidR="008C6D63">
        <w:rPr>
          <w:b/>
        </w:rPr>
        <w:t xml:space="preserve">are </w:t>
      </w:r>
      <w:r>
        <w:rPr>
          <w:b/>
        </w:rPr>
        <w:t>outside the frequency domain of the UE’s BWP.</w:t>
      </w:r>
    </w:p>
    <w:p w14:paraId="2E4B4416" w14:textId="01CF68B5" w:rsidR="00BB6934" w:rsidRPr="00BB6934" w:rsidRDefault="00FE30F6" w:rsidP="000B4A2B">
      <w:pPr>
        <w:rPr>
          <w:b/>
        </w:rPr>
      </w:pPr>
      <w:r>
        <w:rPr>
          <w:b/>
        </w:rPr>
        <w:t>Proposal 2</w:t>
      </w:r>
      <w:r w:rsidR="00BB6934" w:rsidRPr="00BB6934">
        <w:rPr>
          <w:b/>
        </w:rPr>
        <w:t xml:space="preserve">: </w:t>
      </w:r>
      <w:r>
        <w:rPr>
          <w:b/>
        </w:rPr>
        <w:t>In Rel-15, o</w:t>
      </w:r>
      <w:r w:rsidR="00BB6934" w:rsidRPr="00BB6934">
        <w:rPr>
          <w:b/>
        </w:rPr>
        <w:t>nly UEs with the same BWP can be configured with a PI carried by the same GC-DCI.</w:t>
      </w:r>
    </w:p>
    <w:p w14:paraId="5285082F" w14:textId="77777777" w:rsidR="00BB6934" w:rsidRDefault="00BB6934" w:rsidP="000B4A2B"/>
    <w:p w14:paraId="7BCB65F2" w14:textId="77D44BD2" w:rsidR="00CA3B08" w:rsidRDefault="003B4CD1" w:rsidP="000B4A2B">
      <w:r>
        <w:t>In later releases, UE</w:t>
      </w:r>
      <w:r w:rsidR="008C6D63">
        <w:t>s</w:t>
      </w:r>
      <w:r>
        <w:t xml:space="preserve"> with different BWP</w:t>
      </w:r>
      <w:r w:rsidR="008C6D63">
        <w:t>s</w:t>
      </w:r>
      <w:r>
        <w:t xml:space="preserve"> can share the sa</w:t>
      </w:r>
      <w:r w:rsidR="009E0DCD">
        <w:t xml:space="preserve">me GC-DCI by allowing the RDR of the PI to be a subset of the UE’s BWP.  For example in </w:t>
      </w:r>
      <w:r w:rsidR="009E0DCD">
        <w:fldChar w:fldCharType="begin"/>
      </w:r>
      <w:r w:rsidR="009E0DCD">
        <w:instrText xml:space="preserve"> REF _Ref497923713 \h </w:instrText>
      </w:r>
      <w:r w:rsidR="009E0DCD">
        <w:fldChar w:fldCharType="separate"/>
      </w:r>
      <w:r w:rsidR="00EF15E6">
        <w:t xml:space="preserve">Figure </w:t>
      </w:r>
      <w:r w:rsidR="00EF15E6">
        <w:rPr>
          <w:noProof/>
        </w:rPr>
        <w:t>2</w:t>
      </w:r>
      <w:r w:rsidR="009E0DCD">
        <w:fldChar w:fldCharType="end"/>
      </w:r>
      <w:r w:rsidR="009E0DCD">
        <w:t xml:space="preserve">, UE1 BWP is from </w:t>
      </w:r>
      <w:r w:rsidR="009E0DCD" w:rsidRPr="009E0DCD">
        <w:rPr>
          <w:i/>
        </w:rPr>
        <w:t>f</w:t>
      </w:r>
      <w:r w:rsidR="009E0DCD" w:rsidRPr="009E0DCD">
        <w:rPr>
          <w:vertAlign w:val="subscript"/>
        </w:rPr>
        <w:t>3</w:t>
      </w:r>
      <w:r w:rsidR="009E0DCD">
        <w:t xml:space="preserve"> to </w:t>
      </w:r>
      <w:r w:rsidR="009E0DCD" w:rsidRPr="009E0DCD">
        <w:rPr>
          <w:i/>
        </w:rPr>
        <w:t>f</w:t>
      </w:r>
      <w:r w:rsidR="009E0DCD" w:rsidRPr="009E0DCD">
        <w:rPr>
          <w:vertAlign w:val="subscript"/>
        </w:rPr>
        <w:t>4</w:t>
      </w:r>
      <w:r w:rsidR="009E0DCD">
        <w:t xml:space="preserve">, UE2 from </w:t>
      </w:r>
      <w:r w:rsidR="009E0DCD" w:rsidRPr="009E0DCD">
        <w:rPr>
          <w:i/>
        </w:rPr>
        <w:t>f</w:t>
      </w:r>
      <w:r w:rsidR="009E0DCD" w:rsidRPr="009E0DCD">
        <w:rPr>
          <w:vertAlign w:val="subscript"/>
        </w:rPr>
        <w:t>1</w:t>
      </w:r>
      <w:r w:rsidR="009E0DCD">
        <w:t xml:space="preserve"> to </w:t>
      </w:r>
      <w:r w:rsidR="009E0DCD" w:rsidRPr="009E0DCD">
        <w:rPr>
          <w:i/>
        </w:rPr>
        <w:t>f</w:t>
      </w:r>
      <w:r w:rsidR="009E0DCD" w:rsidRPr="009E0DCD">
        <w:rPr>
          <w:vertAlign w:val="subscript"/>
        </w:rPr>
        <w:t>4</w:t>
      </w:r>
      <w:r w:rsidR="009E0DCD">
        <w:t xml:space="preserve"> and UE3 from </w:t>
      </w:r>
      <w:r w:rsidR="009E0DCD" w:rsidRPr="009E0DCD">
        <w:rPr>
          <w:i/>
        </w:rPr>
        <w:t>f</w:t>
      </w:r>
      <w:r w:rsidR="009E0DCD" w:rsidRPr="009E0DCD">
        <w:rPr>
          <w:vertAlign w:val="subscript"/>
        </w:rPr>
        <w:t>1</w:t>
      </w:r>
      <w:r w:rsidR="009E0DCD">
        <w:t xml:space="preserve"> to </w:t>
      </w:r>
      <w:r w:rsidR="009E0DCD" w:rsidRPr="009E0DCD">
        <w:rPr>
          <w:i/>
        </w:rPr>
        <w:t>f</w:t>
      </w:r>
      <w:r w:rsidR="009E0DCD" w:rsidRPr="009E0DCD">
        <w:rPr>
          <w:vertAlign w:val="subscript"/>
        </w:rPr>
        <w:t>3</w:t>
      </w:r>
      <w:r w:rsidR="009E0DCD">
        <w:t>, where UE2’s BWP overlaps those of UE1 and UE3.</w:t>
      </w:r>
      <w:r w:rsidR="001254E0">
        <w:t xml:space="preserve">  UE1 is configured with PI1 and UE3 is configured with PI2, where PI1’s RDR </w:t>
      </w:r>
      <w:r w:rsidR="008C6D63">
        <w:t xml:space="preserve">covers </w:t>
      </w:r>
      <w:r w:rsidR="001254E0">
        <w:t>UE1’s BPW (</w:t>
      </w:r>
      <w:r w:rsidR="001254E0" w:rsidRPr="001254E0">
        <w:rPr>
          <w:i/>
        </w:rPr>
        <w:t>f</w:t>
      </w:r>
      <w:r w:rsidR="001254E0" w:rsidRPr="001254E0">
        <w:rPr>
          <w:vertAlign w:val="subscript"/>
        </w:rPr>
        <w:t>3</w:t>
      </w:r>
      <w:r w:rsidR="001254E0">
        <w:t xml:space="preserve"> to </w:t>
      </w:r>
      <w:r w:rsidR="001254E0" w:rsidRPr="001254E0">
        <w:rPr>
          <w:i/>
        </w:rPr>
        <w:t>f</w:t>
      </w:r>
      <w:r w:rsidR="001254E0" w:rsidRPr="001254E0">
        <w:rPr>
          <w:vertAlign w:val="subscript"/>
        </w:rPr>
        <w:t>4</w:t>
      </w:r>
      <w:r w:rsidR="001254E0">
        <w:t xml:space="preserve">) and PI2’s RDR </w:t>
      </w:r>
      <w:r w:rsidR="008C6D63">
        <w:t xml:space="preserve">covers </w:t>
      </w:r>
      <w:r w:rsidR="001254E0">
        <w:t>UE3’s BWP (</w:t>
      </w:r>
      <w:r w:rsidR="001254E0" w:rsidRPr="001254E0">
        <w:rPr>
          <w:i/>
        </w:rPr>
        <w:t>f</w:t>
      </w:r>
      <w:r w:rsidR="001254E0" w:rsidRPr="001254E0">
        <w:rPr>
          <w:vertAlign w:val="subscript"/>
        </w:rPr>
        <w:t>1</w:t>
      </w:r>
      <w:r w:rsidR="001254E0">
        <w:t xml:space="preserve"> to </w:t>
      </w:r>
      <w:r w:rsidR="001254E0" w:rsidRPr="001254E0">
        <w:rPr>
          <w:i/>
        </w:rPr>
        <w:t>f</w:t>
      </w:r>
      <w:r w:rsidR="001254E0" w:rsidRPr="001254E0">
        <w:rPr>
          <w:vertAlign w:val="subscript"/>
        </w:rPr>
        <w:t>3</w:t>
      </w:r>
      <w:r w:rsidR="001254E0">
        <w:t xml:space="preserve">).  UE2 can be configured with PI1 and PI2 which collectively would cover the entire </w:t>
      </w:r>
      <w:r w:rsidR="008C6D63">
        <w:t xml:space="preserve">BWP </w:t>
      </w:r>
      <w:r w:rsidR="001254E0">
        <w:t>of UE2.  This enables UE</w:t>
      </w:r>
      <w:r w:rsidR="008C6D63">
        <w:t>s</w:t>
      </w:r>
      <w:r w:rsidR="001254E0">
        <w:t xml:space="preserve"> with different BWP to share the same PI (i.e. UE2 and UE1 share PI1 and UE2 and UE3 share PI2) without causing ghost pre-emption.  It is also noted that this avoid</w:t>
      </w:r>
      <w:r w:rsidR="008C6D63">
        <w:t>s</w:t>
      </w:r>
      <w:r w:rsidR="001254E0">
        <w:t xml:space="preserve"> the need to configure a separate PI specifically for UE2’s BWP since PI1 and PI2 already cover UE2’s BWP.</w:t>
      </w:r>
    </w:p>
    <w:p w14:paraId="01B09C71" w14:textId="039E0FF3" w:rsidR="009E0DCD" w:rsidRDefault="009E0DCD" w:rsidP="009E0DCD">
      <w:pPr>
        <w:jc w:val="center"/>
      </w:pPr>
      <w:r>
        <w:rPr>
          <w:noProof/>
          <w:lang w:eastAsia="en-GB"/>
        </w:rPr>
        <w:drawing>
          <wp:inline distT="0" distB="0" distL="0" distR="0" wp14:anchorId="760C769B" wp14:editId="49E22479">
            <wp:extent cx="3822700" cy="27920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22700" cy="2792095"/>
                    </a:xfrm>
                    <a:prstGeom prst="rect">
                      <a:avLst/>
                    </a:prstGeom>
                    <a:noFill/>
                  </pic:spPr>
                </pic:pic>
              </a:graphicData>
            </a:graphic>
          </wp:inline>
        </w:drawing>
      </w:r>
    </w:p>
    <w:p w14:paraId="6023ED17" w14:textId="3F6580BF" w:rsidR="00BB6934" w:rsidRDefault="009E0DCD" w:rsidP="009E0DCD">
      <w:pPr>
        <w:pStyle w:val="Caption"/>
        <w:jc w:val="center"/>
      </w:pPr>
      <w:bookmarkStart w:id="14" w:name="_Ref497923713"/>
      <w:r>
        <w:t xml:space="preserve">Figure </w:t>
      </w:r>
      <w:r w:rsidR="000860EC">
        <w:fldChar w:fldCharType="begin"/>
      </w:r>
      <w:r w:rsidR="000860EC">
        <w:instrText xml:space="preserve"> SEQ Figure \* ARABIC </w:instrText>
      </w:r>
      <w:r w:rsidR="000860EC">
        <w:fldChar w:fldCharType="separate"/>
      </w:r>
      <w:r w:rsidR="00EF15E6">
        <w:rPr>
          <w:noProof/>
        </w:rPr>
        <w:t>2</w:t>
      </w:r>
      <w:r w:rsidR="000860EC">
        <w:rPr>
          <w:noProof/>
        </w:rPr>
        <w:fldChar w:fldCharType="end"/>
      </w:r>
      <w:bookmarkEnd w:id="14"/>
      <w:r>
        <w:t>: BWP that can be served by more than one PI</w:t>
      </w:r>
    </w:p>
    <w:p w14:paraId="5FEC43CA" w14:textId="344955FB" w:rsidR="000B4A2B" w:rsidRPr="001254E0" w:rsidRDefault="001254E0" w:rsidP="000B4A2B">
      <w:pPr>
        <w:rPr>
          <w:b/>
        </w:rPr>
      </w:pPr>
      <w:r w:rsidRPr="001254E0">
        <w:rPr>
          <w:b/>
        </w:rPr>
        <w:t xml:space="preserve">Proposal 3: Allow UEs with different BWP to share a PI carried by the same GC-DCI in </w:t>
      </w:r>
      <w:r w:rsidR="000E4A4D">
        <w:rPr>
          <w:b/>
        </w:rPr>
        <w:t xml:space="preserve">a </w:t>
      </w:r>
      <w:r w:rsidRPr="001254E0">
        <w:rPr>
          <w:b/>
        </w:rPr>
        <w:t>later release.</w:t>
      </w:r>
    </w:p>
    <w:p w14:paraId="6002A66D" w14:textId="77777777" w:rsidR="001254E0" w:rsidRDefault="001254E0" w:rsidP="000B4A2B"/>
    <w:p w14:paraId="0DB64B89" w14:textId="5B08A311" w:rsidR="00627EE0" w:rsidRDefault="007309EE" w:rsidP="000B4A2B">
      <w:r>
        <w:t>The time location of the GC-DCI carrying the PI relative to th</w:t>
      </w:r>
      <w:r w:rsidR="00627EE0">
        <w:t xml:space="preserve">e RDR has not been defined.  </w:t>
      </w:r>
      <w:r w:rsidR="00627EE0">
        <w:fldChar w:fldCharType="begin"/>
      </w:r>
      <w:r w:rsidR="00627EE0">
        <w:instrText xml:space="preserve"> REF _Ref497926687 \h </w:instrText>
      </w:r>
      <w:r w:rsidR="00627EE0">
        <w:fldChar w:fldCharType="separate"/>
      </w:r>
      <w:r w:rsidR="00EF15E6">
        <w:t xml:space="preserve">Figure </w:t>
      </w:r>
      <w:r w:rsidR="00EF15E6">
        <w:rPr>
          <w:noProof/>
        </w:rPr>
        <w:t>3</w:t>
      </w:r>
      <w:r w:rsidR="00627EE0">
        <w:fldChar w:fldCharType="end"/>
      </w:r>
      <w:r w:rsidR="00627EE0">
        <w:t xml:space="preserve"> shows three possible </w:t>
      </w:r>
      <w:r w:rsidR="004A350F">
        <w:t>options</w:t>
      </w:r>
      <w:r w:rsidR="00627EE0">
        <w:t>:</w:t>
      </w:r>
    </w:p>
    <w:p w14:paraId="427C2AE7" w14:textId="77777777" w:rsidR="00627EE0" w:rsidRDefault="00627EE0" w:rsidP="00627EE0">
      <w:pPr>
        <w:pStyle w:val="ListParagraph"/>
        <w:numPr>
          <w:ilvl w:val="0"/>
          <w:numId w:val="15"/>
        </w:numPr>
      </w:pPr>
      <w:r>
        <w:t>The GC-DCI carrying the PI and the corresponding RDR do not overlap in time and there is no delay between the end of the RDR and the start of the GC-DCI carrying the PI.</w:t>
      </w:r>
    </w:p>
    <w:p w14:paraId="38B41A21" w14:textId="77777777" w:rsidR="00627EE0" w:rsidRDefault="00627EE0" w:rsidP="00627EE0">
      <w:pPr>
        <w:pStyle w:val="ListParagraph"/>
        <w:numPr>
          <w:ilvl w:val="0"/>
          <w:numId w:val="15"/>
        </w:numPr>
      </w:pPr>
      <w:r>
        <w:t>The GC-DCI carrying the PI is within the RDR region in the time domain</w:t>
      </w:r>
    </w:p>
    <w:p w14:paraId="1CA90908" w14:textId="7757888E" w:rsidR="007309EE" w:rsidRDefault="00627EE0" w:rsidP="00627EE0">
      <w:pPr>
        <w:pStyle w:val="ListParagraph"/>
        <w:numPr>
          <w:ilvl w:val="0"/>
          <w:numId w:val="15"/>
        </w:numPr>
      </w:pPr>
      <w:r>
        <w:t xml:space="preserve">There is a delay of </w:t>
      </w:r>
      <w:r w:rsidRPr="00627EE0">
        <w:rPr>
          <w:i/>
        </w:rPr>
        <w:t>T</w:t>
      </w:r>
      <w:r w:rsidRPr="00627EE0">
        <w:rPr>
          <w:i/>
          <w:vertAlign w:val="subscript"/>
        </w:rPr>
        <w:t>RDR-Delay</w:t>
      </w:r>
      <w:r>
        <w:t xml:space="preserve"> between the start of the GC-DCI carrying the PI and the end of the RDR</w:t>
      </w:r>
    </w:p>
    <w:p w14:paraId="6959E0FB" w14:textId="73EFA367" w:rsidR="00837C18" w:rsidRDefault="00F92AC1" w:rsidP="000B4A2B">
      <w:r>
        <w:rPr>
          <w:noProof/>
          <w:lang w:eastAsia="en-GB"/>
        </w:rPr>
        <w:lastRenderedPageBreak/>
        <w:drawing>
          <wp:inline distT="0" distB="0" distL="0" distR="0" wp14:anchorId="26BBE45D" wp14:editId="726A5299">
            <wp:extent cx="6626860" cy="2688590"/>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26860" cy="2688590"/>
                    </a:xfrm>
                    <a:prstGeom prst="rect">
                      <a:avLst/>
                    </a:prstGeom>
                    <a:noFill/>
                  </pic:spPr>
                </pic:pic>
              </a:graphicData>
            </a:graphic>
          </wp:inline>
        </w:drawing>
      </w:r>
    </w:p>
    <w:p w14:paraId="7A14C634" w14:textId="6618DF0B" w:rsidR="001254E0" w:rsidRDefault="00627EE0" w:rsidP="00627EE0">
      <w:pPr>
        <w:pStyle w:val="Caption"/>
        <w:jc w:val="center"/>
      </w:pPr>
      <w:bookmarkStart w:id="15" w:name="_Ref497926687"/>
      <w:r>
        <w:t xml:space="preserve">Figure </w:t>
      </w:r>
      <w:r w:rsidR="000860EC">
        <w:fldChar w:fldCharType="begin"/>
      </w:r>
      <w:r w:rsidR="000860EC">
        <w:instrText xml:space="preserve"> SEQ Figure \* ARABIC </w:instrText>
      </w:r>
      <w:r w:rsidR="000860EC">
        <w:fldChar w:fldCharType="separate"/>
      </w:r>
      <w:r w:rsidR="00EF15E6">
        <w:rPr>
          <w:noProof/>
        </w:rPr>
        <w:t>3</w:t>
      </w:r>
      <w:r w:rsidR="000860EC">
        <w:rPr>
          <w:noProof/>
        </w:rPr>
        <w:fldChar w:fldCharType="end"/>
      </w:r>
      <w:bookmarkEnd w:id="15"/>
      <w:r>
        <w:t>: Relative location of GC-DCI and RDR</w:t>
      </w:r>
    </w:p>
    <w:p w14:paraId="78D93CAD" w14:textId="741E0189" w:rsidR="00627EE0" w:rsidRDefault="004A350F" w:rsidP="000B4A2B">
      <w:r>
        <w:t xml:space="preserve">The PI should be transmitted as soon as possible and hence introducing a delay such as in Option C (of </w:t>
      </w:r>
      <w:r>
        <w:fldChar w:fldCharType="begin"/>
      </w:r>
      <w:r>
        <w:instrText xml:space="preserve"> REF _Ref497926687 \h </w:instrText>
      </w:r>
      <w:r>
        <w:fldChar w:fldCharType="separate"/>
      </w:r>
      <w:r w:rsidR="00EF15E6">
        <w:t xml:space="preserve">Figure </w:t>
      </w:r>
      <w:r w:rsidR="00EF15E6">
        <w:rPr>
          <w:noProof/>
        </w:rPr>
        <w:t>3</w:t>
      </w:r>
      <w:r>
        <w:fldChar w:fldCharType="end"/>
      </w:r>
      <w:r>
        <w:t>) is not beneficial.  Between Option A and Option B, there is a slight advantage in Option B since any pre-emption that occurs at the end of the RDR can be addressed immediately in Option B compared to that in Option A.  Hence we have a slight preference to go for Option B.</w:t>
      </w:r>
    </w:p>
    <w:p w14:paraId="026B941E" w14:textId="706A5D98" w:rsidR="004A350F" w:rsidRDefault="004A350F" w:rsidP="000B4A2B">
      <w:pPr>
        <w:rPr>
          <w:b/>
        </w:rPr>
      </w:pPr>
      <w:r w:rsidRPr="004A350F">
        <w:rPr>
          <w:b/>
        </w:rPr>
        <w:t>Proposal 4: In the time domain, the GC-DCI carrying the PI is located at the end and inside of the RDR.</w:t>
      </w:r>
    </w:p>
    <w:p w14:paraId="35F7677D" w14:textId="77777777" w:rsidR="008E2850" w:rsidRDefault="008E2850" w:rsidP="000B4A2B">
      <w:pPr>
        <w:rPr>
          <w:b/>
        </w:rPr>
      </w:pPr>
    </w:p>
    <w:p w14:paraId="6F49F755" w14:textId="5D2676A0" w:rsidR="008E2850" w:rsidRDefault="00CE5B43" w:rsidP="000B4A2B">
      <w:r>
        <w:t>The minimum periodicity of the GC-DCI carrying the PI is agreed to be 1 slot.  Whilst it may be beneficial to reduce this periodicity to mini-slot level, it also introduces complexities in terms of blind decodes at the UE.  Hence, the support for mini-slot PI monitoring can be optional and the UE can signal this capability.</w:t>
      </w:r>
    </w:p>
    <w:p w14:paraId="08AFD90D" w14:textId="4BC185ED" w:rsidR="00CE5B43" w:rsidRDefault="00CE5B43" w:rsidP="000B4A2B">
      <w:pPr>
        <w:rPr>
          <w:b/>
        </w:rPr>
      </w:pPr>
      <w:r w:rsidRPr="00CE5B43">
        <w:rPr>
          <w:b/>
        </w:rPr>
        <w:t>Proposal 5: The UE signals its capability to support mini-slot monitoring periodicity of GC-DCI carrying PI.</w:t>
      </w:r>
    </w:p>
    <w:p w14:paraId="5A3BB6CE" w14:textId="77777777" w:rsidR="00CE5B43" w:rsidRPr="00CE5B43" w:rsidRDefault="00CE5B43" w:rsidP="000B4A2B">
      <w:pPr>
        <w:rPr>
          <w:b/>
        </w:rPr>
      </w:pPr>
    </w:p>
    <w:p w14:paraId="4EA76E51" w14:textId="4FFECA40" w:rsidR="00F92AC1" w:rsidRDefault="00051CC9" w:rsidP="00F92AC1">
      <w:pPr>
        <w:pStyle w:val="Heading2"/>
        <w:numPr>
          <w:ilvl w:val="1"/>
          <w:numId w:val="9"/>
        </w:numPr>
        <w:rPr>
          <w:rFonts w:eastAsia="MS Mincho"/>
          <w:lang w:val="en-US"/>
        </w:rPr>
      </w:pPr>
      <w:r>
        <w:rPr>
          <w:rFonts w:eastAsia="MS Mincho"/>
          <w:lang w:val="en-US"/>
        </w:rPr>
        <w:t>UE Behaviour &amp; HARQ Timeline</w:t>
      </w:r>
    </w:p>
    <w:p w14:paraId="54D9A665" w14:textId="3CD1655B" w:rsidR="00EF15E6" w:rsidRPr="00EF15E6" w:rsidRDefault="00EF15E6" w:rsidP="00EF15E6">
      <w:pPr>
        <w:pStyle w:val="Heading4"/>
        <w:rPr>
          <w:rFonts w:eastAsia="MS Mincho"/>
          <w:b/>
          <w:i/>
        </w:rPr>
      </w:pPr>
      <w:r w:rsidRPr="00EF15E6">
        <w:rPr>
          <w:rFonts w:eastAsia="MS Mincho"/>
          <w:b/>
          <w:i/>
        </w:rPr>
        <w:t>UE Processing Time</w:t>
      </w:r>
    </w:p>
    <w:p w14:paraId="09B9642C" w14:textId="77E60F27" w:rsidR="00E847CE" w:rsidRDefault="00F92AC1" w:rsidP="00F92AC1">
      <w:pPr>
        <w:rPr>
          <w:rFonts w:eastAsia="MS Mincho"/>
          <w:lang w:val="en-US"/>
        </w:rPr>
      </w:pPr>
      <w:r>
        <w:rPr>
          <w:rFonts w:eastAsia="MS Mincho"/>
          <w:lang w:val="en-US"/>
        </w:rPr>
        <w:t xml:space="preserve">The aim of the PI is </w:t>
      </w:r>
      <w:r w:rsidR="00E20450">
        <w:rPr>
          <w:rFonts w:eastAsia="MS Mincho"/>
          <w:lang w:val="en-US"/>
        </w:rPr>
        <w:t xml:space="preserve">to </w:t>
      </w:r>
      <w:r>
        <w:rPr>
          <w:rFonts w:eastAsia="MS Mincho"/>
          <w:lang w:val="en-US"/>
        </w:rPr>
        <w:t xml:space="preserve">improve </w:t>
      </w:r>
      <w:r w:rsidR="00E20450">
        <w:rPr>
          <w:rFonts w:eastAsia="MS Mincho"/>
          <w:lang w:val="en-US"/>
        </w:rPr>
        <w:t xml:space="preserve">the UE’s </w:t>
      </w:r>
      <w:r>
        <w:rPr>
          <w:rFonts w:eastAsia="MS Mincho"/>
          <w:lang w:val="en-US"/>
        </w:rPr>
        <w:t xml:space="preserve">demodulation performance when it is pre-empted by another PDSCH (e.g. URLLC).  Ideally this would allow the UE to take into account the pre-emption prior to HARQ-ACK feedback.  </w:t>
      </w:r>
      <w:r w:rsidR="00E847CE">
        <w:rPr>
          <w:rFonts w:eastAsia="MS Mincho"/>
          <w:lang w:val="en-US"/>
        </w:rPr>
        <w:t xml:space="preserve">Let the time between the end of the PI and start of the HARQ-ACK feedback for an eMBB transmission be </w:t>
      </w:r>
      <w:r w:rsidR="00E847CE" w:rsidRPr="00E847CE">
        <w:rPr>
          <w:rFonts w:eastAsia="MS Mincho"/>
          <w:i/>
          <w:lang w:val="en-US"/>
        </w:rPr>
        <w:t>T</w:t>
      </w:r>
      <w:r w:rsidR="00E847CE" w:rsidRPr="00E847CE">
        <w:rPr>
          <w:rFonts w:eastAsia="MS Mincho"/>
          <w:i/>
          <w:vertAlign w:val="subscript"/>
          <w:lang w:val="en-US"/>
        </w:rPr>
        <w:t>HARQ</w:t>
      </w:r>
      <w:r w:rsidR="00E847CE">
        <w:rPr>
          <w:rFonts w:eastAsia="MS Mincho"/>
          <w:lang w:val="en-US"/>
        </w:rPr>
        <w:t xml:space="preserve"> as shown in </w:t>
      </w:r>
      <w:r w:rsidR="00E847CE">
        <w:rPr>
          <w:rFonts w:eastAsia="MS Mincho"/>
          <w:lang w:val="en-US"/>
        </w:rPr>
        <w:fldChar w:fldCharType="begin"/>
      </w:r>
      <w:r w:rsidR="00E847CE">
        <w:rPr>
          <w:rFonts w:eastAsia="MS Mincho"/>
          <w:lang w:val="en-US"/>
        </w:rPr>
        <w:instrText xml:space="preserve"> REF _Ref497928716 \h </w:instrText>
      </w:r>
      <w:r w:rsidR="00E847CE">
        <w:rPr>
          <w:rFonts w:eastAsia="MS Mincho"/>
          <w:lang w:val="en-US"/>
        </w:rPr>
      </w:r>
      <w:r w:rsidR="00E847CE">
        <w:rPr>
          <w:rFonts w:eastAsia="MS Mincho"/>
          <w:lang w:val="en-US"/>
        </w:rPr>
        <w:fldChar w:fldCharType="separate"/>
      </w:r>
      <w:r w:rsidR="00EF15E6">
        <w:t xml:space="preserve">Figure </w:t>
      </w:r>
      <w:r w:rsidR="00EF15E6">
        <w:rPr>
          <w:noProof/>
        </w:rPr>
        <w:t>4</w:t>
      </w:r>
      <w:r w:rsidR="00E847CE">
        <w:rPr>
          <w:rFonts w:eastAsia="MS Mincho"/>
          <w:lang w:val="en-US"/>
        </w:rPr>
        <w:fldChar w:fldCharType="end"/>
      </w:r>
      <w:r w:rsidR="00E847CE">
        <w:rPr>
          <w:rFonts w:eastAsia="MS Mincho"/>
          <w:lang w:val="en-US"/>
        </w:rPr>
        <w:t xml:space="preserve">.  Since HARQ-ACK feedback time is relative to an eMBB transmission but the PI is carried by GC-DCI, the time </w:t>
      </w:r>
      <w:r w:rsidR="00E847CE" w:rsidRPr="00E847CE">
        <w:rPr>
          <w:rFonts w:eastAsia="MS Mincho"/>
          <w:i/>
          <w:lang w:val="en-US"/>
        </w:rPr>
        <w:t>T</w:t>
      </w:r>
      <w:r w:rsidR="00E847CE" w:rsidRPr="00E847CE">
        <w:rPr>
          <w:rFonts w:eastAsia="MS Mincho"/>
          <w:i/>
          <w:vertAlign w:val="subscript"/>
          <w:lang w:val="en-US"/>
        </w:rPr>
        <w:t>HARQ</w:t>
      </w:r>
      <w:r w:rsidR="00E847CE">
        <w:rPr>
          <w:rFonts w:eastAsia="MS Mincho"/>
          <w:lang w:val="en-US"/>
        </w:rPr>
        <w:t xml:space="preserve"> is different for different eMBB transmissions within the RDR.</w:t>
      </w:r>
      <w:r w:rsidR="000815A3">
        <w:rPr>
          <w:rFonts w:eastAsia="MS Mincho"/>
          <w:lang w:val="en-US"/>
        </w:rPr>
        <w:t xml:space="preserve">  For some eMBB transmissions, </w:t>
      </w:r>
      <w:r w:rsidR="000815A3" w:rsidRPr="000815A3">
        <w:rPr>
          <w:rFonts w:eastAsia="MS Mincho"/>
          <w:i/>
          <w:lang w:val="en-US"/>
        </w:rPr>
        <w:t>T</w:t>
      </w:r>
      <w:r w:rsidR="000815A3" w:rsidRPr="000815A3">
        <w:rPr>
          <w:rFonts w:eastAsia="MS Mincho"/>
          <w:i/>
          <w:vertAlign w:val="subscript"/>
          <w:lang w:val="en-US"/>
        </w:rPr>
        <w:t>HARQ</w:t>
      </w:r>
      <w:r w:rsidR="000815A3">
        <w:rPr>
          <w:rFonts w:eastAsia="MS Mincho"/>
          <w:lang w:val="en-US"/>
        </w:rPr>
        <w:t xml:space="preserve"> may not provide sufficient time for the UE to take into account the pre-emption and to re-decode the eMBB TB in time to provide a HARQ-ACK feedback.  In [2] &amp; [3] it is proposed that if </w:t>
      </w:r>
      <w:r w:rsidR="000815A3" w:rsidRPr="000815A3">
        <w:rPr>
          <w:rFonts w:eastAsia="MS Mincho"/>
          <w:i/>
          <w:lang w:val="en-US"/>
        </w:rPr>
        <w:t>T</w:t>
      </w:r>
      <w:r w:rsidR="000815A3" w:rsidRPr="000815A3">
        <w:rPr>
          <w:rFonts w:eastAsia="MS Mincho"/>
          <w:i/>
          <w:vertAlign w:val="subscript"/>
          <w:lang w:val="en-US"/>
        </w:rPr>
        <w:t>HARQ</w:t>
      </w:r>
      <w:r w:rsidR="000815A3">
        <w:rPr>
          <w:rFonts w:eastAsia="MS Mincho"/>
          <w:lang w:val="en-US"/>
        </w:rPr>
        <w:t xml:space="preserve"> &gt; threshold </w:t>
      </w:r>
      <w:r w:rsidR="000815A3" w:rsidRPr="000815A3">
        <w:rPr>
          <w:rFonts w:eastAsia="MS Mincho"/>
          <w:i/>
          <w:lang w:val="en-US"/>
        </w:rPr>
        <w:t>T</w:t>
      </w:r>
      <w:r w:rsidR="000815A3">
        <w:rPr>
          <w:rFonts w:eastAsia="MS Mincho"/>
          <w:vertAlign w:val="subscript"/>
          <w:lang w:val="en-US"/>
        </w:rPr>
        <w:t>Process</w:t>
      </w:r>
      <w:r w:rsidR="000815A3">
        <w:rPr>
          <w:rFonts w:eastAsia="MS Mincho"/>
          <w:lang w:val="en-US"/>
        </w:rPr>
        <w:t xml:space="preserve"> then the eMBB UE would flush out the LLRs corresponding to the pre-empted resources and re-decode the eMBB, otherwise, the eMBB UE would just flush out the LLRs corresponding to the pre-empted resources but </w:t>
      </w:r>
      <w:r w:rsidR="000815A3" w:rsidRPr="000815A3">
        <w:rPr>
          <w:rFonts w:eastAsia="MS Mincho"/>
          <w:i/>
          <w:lang w:val="en-US"/>
        </w:rPr>
        <w:t>not</w:t>
      </w:r>
      <w:r w:rsidR="000815A3">
        <w:rPr>
          <w:rFonts w:eastAsia="MS Mincho"/>
          <w:lang w:val="en-US"/>
        </w:rPr>
        <w:t xml:space="preserve"> re-decode the eMBB (since it does not have sufficient time).</w:t>
      </w:r>
      <w:r w:rsidR="00B30F57">
        <w:rPr>
          <w:rFonts w:eastAsia="MS Mincho"/>
          <w:lang w:val="en-US"/>
        </w:rPr>
        <w:t xml:space="preserve">  </w:t>
      </w:r>
      <w:r w:rsidR="00CE5B43">
        <w:rPr>
          <w:rFonts w:eastAsia="MS Mincho"/>
          <w:lang w:val="en-US"/>
        </w:rPr>
        <w:t>T</w:t>
      </w:r>
      <w:r w:rsidR="00B30F57">
        <w:rPr>
          <w:rFonts w:eastAsia="MS Mincho"/>
          <w:lang w:val="en-US"/>
        </w:rPr>
        <w:t xml:space="preserve">he UE behavior in handling </w:t>
      </w:r>
      <w:r w:rsidR="00B30F57" w:rsidRPr="00B30F57">
        <w:rPr>
          <w:rFonts w:eastAsia="MS Mincho"/>
          <w:i/>
          <w:lang w:val="en-US"/>
        </w:rPr>
        <w:t>T</w:t>
      </w:r>
      <w:r w:rsidR="00B30F57" w:rsidRPr="00B30F57">
        <w:rPr>
          <w:rFonts w:eastAsia="MS Mincho"/>
          <w:i/>
          <w:vertAlign w:val="subscript"/>
          <w:lang w:val="en-US"/>
        </w:rPr>
        <w:t>HARQ</w:t>
      </w:r>
      <w:r w:rsidR="00B30F57">
        <w:rPr>
          <w:rFonts w:eastAsia="MS Mincho"/>
          <w:lang w:val="en-US"/>
        </w:rPr>
        <w:t xml:space="preserve"> has an impact on the eMBB decoding performance</w:t>
      </w:r>
      <w:r w:rsidR="00CE5B43">
        <w:rPr>
          <w:rFonts w:eastAsia="MS Mincho"/>
          <w:lang w:val="en-US"/>
        </w:rPr>
        <w:t xml:space="preserve">.  However, the UE should be free to implement its handling of </w:t>
      </w:r>
      <w:r w:rsidR="00CE5B43" w:rsidRPr="00CE5B43">
        <w:rPr>
          <w:rFonts w:eastAsia="MS Mincho"/>
          <w:i/>
          <w:lang w:val="en-US"/>
        </w:rPr>
        <w:t>T</w:t>
      </w:r>
      <w:r w:rsidR="00CE5B43" w:rsidRPr="00CE5B43">
        <w:rPr>
          <w:rFonts w:eastAsia="MS Mincho"/>
          <w:i/>
          <w:vertAlign w:val="subscript"/>
          <w:lang w:val="en-US"/>
        </w:rPr>
        <w:t>HARQ</w:t>
      </w:r>
      <w:r w:rsidR="00CE5B43">
        <w:rPr>
          <w:rFonts w:eastAsia="MS Mincho"/>
          <w:lang w:val="en-US"/>
        </w:rPr>
        <w:t xml:space="preserve">.  Hence, the UE </w:t>
      </w:r>
      <w:r w:rsidR="00CE5B43">
        <w:rPr>
          <w:rFonts w:eastAsia="MS Mincho"/>
          <w:lang w:val="en-US"/>
        </w:rPr>
        <w:lastRenderedPageBreak/>
        <w:t>behavior does not need to be specified but RAN1 suggest</w:t>
      </w:r>
      <w:r w:rsidR="00E20450">
        <w:rPr>
          <w:rFonts w:eastAsia="MS Mincho"/>
          <w:lang w:val="en-US"/>
        </w:rPr>
        <w:t>s</w:t>
      </w:r>
      <w:r w:rsidR="00CE5B43">
        <w:rPr>
          <w:rFonts w:eastAsia="MS Mincho"/>
          <w:lang w:val="en-US"/>
        </w:rPr>
        <w:t xml:space="preserve"> to RAN4 to test the performance of eMBB (i.e. large PDSCH TBS) demodulation when the UE takes into account PI assuming a </w:t>
      </w:r>
      <w:r w:rsidR="00CE5B43" w:rsidRPr="00CE5B43">
        <w:rPr>
          <w:rFonts w:eastAsia="MS Mincho"/>
          <w:i/>
          <w:lang w:val="en-US"/>
        </w:rPr>
        <w:t>T</w:t>
      </w:r>
      <w:r w:rsidR="00CE5B43" w:rsidRPr="00CE5B43">
        <w:rPr>
          <w:rFonts w:eastAsia="MS Mincho"/>
          <w:i/>
          <w:vertAlign w:val="subscript"/>
          <w:lang w:val="en-US"/>
        </w:rPr>
        <w:t>Process</w:t>
      </w:r>
      <w:r w:rsidR="00CE5B43">
        <w:rPr>
          <w:rFonts w:eastAsia="MS Mincho"/>
          <w:lang w:val="en-US"/>
        </w:rPr>
        <w:t xml:space="preserve"> value.</w:t>
      </w:r>
    </w:p>
    <w:p w14:paraId="3B95899A" w14:textId="423FCEEA" w:rsidR="004A350F" w:rsidRDefault="004A350F" w:rsidP="00F92AC1"/>
    <w:p w14:paraId="72CCBCAC" w14:textId="565E6A9C" w:rsidR="004A350F" w:rsidRDefault="00F92AC1" w:rsidP="00F92AC1">
      <w:pPr>
        <w:jc w:val="center"/>
      </w:pPr>
      <w:r>
        <w:rPr>
          <w:noProof/>
          <w:lang w:eastAsia="en-GB"/>
        </w:rPr>
        <w:drawing>
          <wp:inline distT="0" distB="0" distL="0" distR="0" wp14:anchorId="38E49C60" wp14:editId="757FC913">
            <wp:extent cx="3797935" cy="16033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97935" cy="1603375"/>
                    </a:xfrm>
                    <a:prstGeom prst="rect">
                      <a:avLst/>
                    </a:prstGeom>
                    <a:noFill/>
                  </pic:spPr>
                </pic:pic>
              </a:graphicData>
            </a:graphic>
          </wp:inline>
        </w:drawing>
      </w:r>
    </w:p>
    <w:p w14:paraId="7F2CD3F6" w14:textId="60E95B35" w:rsidR="00F92AC1" w:rsidRDefault="00F92AC1" w:rsidP="00F92AC1">
      <w:pPr>
        <w:pStyle w:val="Caption"/>
        <w:jc w:val="center"/>
      </w:pPr>
      <w:bookmarkStart w:id="16" w:name="_Ref497928716"/>
      <w:r>
        <w:t xml:space="preserve">Figure </w:t>
      </w:r>
      <w:r w:rsidR="000860EC">
        <w:fldChar w:fldCharType="begin"/>
      </w:r>
      <w:r w:rsidR="000860EC">
        <w:instrText xml:space="preserve"> SEQ Figure \* ARABIC </w:instrText>
      </w:r>
      <w:r w:rsidR="000860EC">
        <w:fldChar w:fldCharType="separate"/>
      </w:r>
      <w:r w:rsidR="00EF15E6">
        <w:rPr>
          <w:noProof/>
        </w:rPr>
        <w:t>4</w:t>
      </w:r>
      <w:r w:rsidR="000860EC">
        <w:rPr>
          <w:noProof/>
        </w:rPr>
        <w:fldChar w:fldCharType="end"/>
      </w:r>
      <w:bookmarkEnd w:id="16"/>
      <w:r>
        <w:t>: Time between end of PI and start of HARQ-ACK feedback</w:t>
      </w:r>
    </w:p>
    <w:p w14:paraId="63F59B55" w14:textId="386A1678" w:rsidR="008426FE" w:rsidRDefault="008426FE" w:rsidP="00226014"/>
    <w:p w14:paraId="58ECC4BF" w14:textId="4C7EC586" w:rsidR="00CE5B43" w:rsidRDefault="00CE5B43" w:rsidP="00226014">
      <w:pPr>
        <w:rPr>
          <w:b/>
        </w:rPr>
      </w:pPr>
      <w:r w:rsidRPr="00051CC9">
        <w:rPr>
          <w:b/>
        </w:rPr>
        <w:t xml:space="preserve">Proposal 6: </w:t>
      </w:r>
      <w:r w:rsidR="00E20450">
        <w:rPr>
          <w:b/>
        </w:rPr>
        <w:t>LS</w:t>
      </w:r>
      <w:r w:rsidRPr="00051CC9">
        <w:rPr>
          <w:b/>
        </w:rPr>
        <w:t xml:space="preserve"> to RAN4 to test the performance of large PDSCH demodulation </w:t>
      </w:r>
      <w:r w:rsidR="00E20450">
        <w:rPr>
          <w:b/>
        </w:rPr>
        <w:t>that is partially pre-empted</w:t>
      </w:r>
      <w:r w:rsidRPr="00051CC9">
        <w:rPr>
          <w:b/>
        </w:rPr>
        <w:t xml:space="preserve"> by another </w:t>
      </w:r>
      <w:r w:rsidR="00051CC9" w:rsidRPr="00051CC9">
        <w:rPr>
          <w:b/>
        </w:rPr>
        <w:t xml:space="preserve">shorter PDSCH transmission taking into account PI.  This test </w:t>
      </w:r>
      <w:r w:rsidR="00E20450">
        <w:rPr>
          <w:b/>
        </w:rPr>
        <w:t xml:space="preserve">should </w:t>
      </w:r>
      <w:r w:rsidR="00051CC9" w:rsidRPr="00051CC9">
        <w:rPr>
          <w:b/>
        </w:rPr>
        <w:t>assume a suitable PDSCH processing time at the UE.</w:t>
      </w:r>
    </w:p>
    <w:p w14:paraId="608166B1" w14:textId="77777777" w:rsidR="00EF15E6" w:rsidRPr="00051CC9" w:rsidRDefault="00EF15E6" w:rsidP="00226014">
      <w:pPr>
        <w:rPr>
          <w:rFonts w:eastAsia="MS Mincho"/>
          <w:b/>
          <w:lang w:val="en-US"/>
        </w:rPr>
      </w:pPr>
    </w:p>
    <w:p w14:paraId="4D4B657E" w14:textId="326942A6" w:rsidR="00EF15E6" w:rsidRPr="00EF15E6" w:rsidRDefault="00EF15E6" w:rsidP="00EF15E6">
      <w:pPr>
        <w:pStyle w:val="Heading4"/>
        <w:rPr>
          <w:rFonts w:eastAsia="MS Mincho"/>
          <w:b/>
          <w:i/>
        </w:rPr>
      </w:pPr>
      <w:r w:rsidRPr="00EF15E6">
        <w:rPr>
          <w:rFonts w:eastAsia="MS Mincho"/>
          <w:b/>
          <w:i/>
          <w:lang w:val="en-GB"/>
        </w:rPr>
        <w:t>PI and CBGFI</w:t>
      </w:r>
    </w:p>
    <w:p w14:paraId="0C7363E1" w14:textId="49CE427A" w:rsidR="00051CC9" w:rsidRDefault="00051CC9" w:rsidP="00226014">
      <w:pPr>
        <w:rPr>
          <w:rFonts w:eastAsia="MS Mincho"/>
          <w:lang w:val="en-US"/>
        </w:rPr>
      </w:pPr>
      <w:r w:rsidRPr="00051CC9">
        <w:rPr>
          <w:rFonts w:eastAsia="MS Mincho"/>
          <w:lang w:val="en-US"/>
        </w:rPr>
        <w:t>The U</w:t>
      </w:r>
      <w:r>
        <w:rPr>
          <w:rFonts w:eastAsia="MS Mincho"/>
          <w:lang w:val="en-US"/>
        </w:rPr>
        <w:t xml:space="preserve">E behavior when PI and CBGFI are both transmitted to the UE was discussed </w:t>
      </w:r>
      <w:r w:rsidR="00E20450">
        <w:rPr>
          <w:rFonts w:eastAsia="MS Mincho"/>
          <w:lang w:val="en-US"/>
        </w:rPr>
        <w:t>during</w:t>
      </w:r>
      <w:r>
        <w:rPr>
          <w:rFonts w:eastAsia="MS Mincho"/>
          <w:lang w:val="en-US"/>
        </w:rPr>
        <w:t xml:space="preserve"> offline </w:t>
      </w:r>
      <w:r w:rsidR="00E20450">
        <w:rPr>
          <w:rFonts w:eastAsia="MS Mincho"/>
          <w:lang w:val="en-US"/>
        </w:rPr>
        <w:t xml:space="preserve">sessions </w:t>
      </w:r>
      <w:r>
        <w:rPr>
          <w:rFonts w:eastAsia="MS Mincho"/>
          <w:lang w:val="en-US"/>
        </w:rPr>
        <w:t>in the previous meeting.  The straightforward behavior as described in [4] can be used, i.e.:</w:t>
      </w:r>
    </w:p>
    <w:p w14:paraId="66A90F4A" w14:textId="31EA5BDC" w:rsidR="00051CC9" w:rsidRDefault="00051CC9" w:rsidP="00051CC9">
      <w:pPr>
        <w:pStyle w:val="ListParagraph"/>
        <w:numPr>
          <w:ilvl w:val="0"/>
          <w:numId w:val="16"/>
        </w:numPr>
        <w:rPr>
          <w:rFonts w:eastAsia="MS Mincho"/>
          <w:lang w:val="en-US"/>
        </w:rPr>
      </w:pPr>
      <w:r>
        <w:rPr>
          <w:rFonts w:eastAsia="MS Mincho"/>
          <w:lang w:val="en-US"/>
        </w:rPr>
        <w:t>The UE will apply whichever indicator (PI or CBGFI) that arrives first</w:t>
      </w:r>
    </w:p>
    <w:p w14:paraId="3FFEED82" w14:textId="266DBD1D" w:rsidR="00051CC9" w:rsidRDefault="00051CC9" w:rsidP="00051CC9">
      <w:pPr>
        <w:pStyle w:val="ListParagraph"/>
        <w:numPr>
          <w:ilvl w:val="0"/>
          <w:numId w:val="16"/>
        </w:numPr>
        <w:rPr>
          <w:rFonts w:eastAsia="MS Mincho"/>
          <w:lang w:val="en-US"/>
        </w:rPr>
      </w:pPr>
      <w:r>
        <w:rPr>
          <w:rFonts w:eastAsia="MS Mincho"/>
          <w:lang w:val="en-US"/>
        </w:rPr>
        <w:t>If both PI and CBGFI arrive at the same time, PI has priority</w:t>
      </w:r>
    </w:p>
    <w:p w14:paraId="585188A9" w14:textId="2E1A6A59" w:rsidR="00051CC9" w:rsidRPr="00051CC9" w:rsidRDefault="00051CC9" w:rsidP="00051CC9">
      <w:pPr>
        <w:rPr>
          <w:rFonts w:eastAsia="MS Mincho"/>
          <w:b/>
          <w:lang w:val="en-US"/>
        </w:rPr>
      </w:pPr>
      <w:r w:rsidRPr="00051CC9">
        <w:rPr>
          <w:rFonts w:eastAsia="MS Mincho"/>
          <w:b/>
          <w:lang w:val="en-US"/>
        </w:rPr>
        <w:t>Proposal 7: When PI and CBGFI are transmitted to the UE, the UE will apply whichever indicator arrives first.  If both indicators arrive at the same time the UE will apply the PI.</w:t>
      </w:r>
    </w:p>
    <w:p w14:paraId="41CB58A0" w14:textId="77777777" w:rsidR="00051CC9" w:rsidRDefault="00051CC9" w:rsidP="00226014">
      <w:pPr>
        <w:rPr>
          <w:rFonts w:eastAsia="MS Mincho"/>
          <w:b/>
          <w:highlight w:val="yellow"/>
          <w:lang w:val="en-US"/>
        </w:rPr>
      </w:pPr>
    </w:p>
    <w:p w14:paraId="4EDFE760" w14:textId="13FEA123" w:rsidR="00EF15E6" w:rsidRPr="00EF15E6" w:rsidRDefault="00EF15E6" w:rsidP="00EF15E6">
      <w:pPr>
        <w:pStyle w:val="Heading4"/>
        <w:rPr>
          <w:rFonts w:eastAsia="MS Mincho"/>
          <w:b/>
          <w:i/>
        </w:rPr>
      </w:pPr>
      <w:r w:rsidRPr="00EF15E6">
        <w:rPr>
          <w:rFonts w:eastAsia="MS Mincho"/>
          <w:b/>
          <w:i/>
          <w:lang w:val="en-GB"/>
        </w:rPr>
        <w:t>Subsequent Retransmission</w:t>
      </w:r>
    </w:p>
    <w:p w14:paraId="454D1E2F" w14:textId="77777777" w:rsidR="00EF15E6" w:rsidRDefault="00EF15E6" w:rsidP="00EF15E6">
      <w:pPr>
        <w:jc w:val="both"/>
        <w:rPr>
          <w:rFonts w:eastAsia="MS Mincho"/>
        </w:rPr>
      </w:pPr>
      <w:r>
        <w:rPr>
          <w:rFonts w:eastAsia="MS Mincho"/>
        </w:rPr>
        <w:t>Subsequent retransmission, where the pre-empted resources are retransmitted prior to the eMBB UE’s HARQ ACK feedback, is beneficial [5].  In order to support subsequent retransmission, the following should be considered:</w:t>
      </w:r>
    </w:p>
    <w:p w14:paraId="3A8BBDE0" w14:textId="77777777" w:rsidR="00EF15E6" w:rsidRDefault="00EF15E6" w:rsidP="00EF15E6">
      <w:pPr>
        <w:numPr>
          <w:ilvl w:val="0"/>
          <w:numId w:val="17"/>
        </w:numPr>
        <w:overflowPunct w:val="0"/>
        <w:autoSpaceDE w:val="0"/>
        <w:autoSpaceDN w:val="0"/>
        <w:adjustRightInd w:val="0"/>
        <w:spacing w:after="180" w:line="240" w:lineRule="auto"/>
        <w:jc w:val="both"/>
        <w:textAlignment w:val="baseline"/>
        <w:rPr>
          <w:rFonts w:eastAsia="MS Mincho"/>
        </w:rPr>
      </w:pPr>
      <w:r>
        <w:rPr>
          <w:rFonts w:eastAsia="MS Mincho"/>
        </w:rPr>
        <w:t xml:space="preserve">The gNB may not be able to schedule a retransmission immediately after the eMBB transmission, i.e. referring to </w:t>
      </w:r>
      <w:r>
        <w:rPr>
          <w:rFonts w:eastAsia="MS Mincho"/>
        </w:rPr>
        <w:fldChar w:fldCharType="begin"/>
      </w:r>
      <w:r>
        <w:rPr>
          <w:rFonts w:eastAsia="MS Mincho"/>
        </w:rPr>
        <w:instrText xml:space="preserve"> REF _Ref481587623 \h </w:instrText>
      </w:r>
      <w:r>
        <w:rPr>
          <w:rFonts w:eastAsia="MS Mincho"/>
        </w:rPr>
      </w:r>
      <w:r>
        <w:rPr>
          <w:rFonts w:eastAsia="MS Mincho"/>
        </w:rPr>
        <w:fldChar w:fldCharType="separate"/>
      </w:r>
      <w:r>
        <w:t xml:space="preserve">Figure </w:t>
      </w:r>
      <w:r>
        <w:rPr>
          <w:noProof/>
        </w:rPr>
        <w:t>5</w:t>
      </w:r>
      <w:r>
        <w:rPr>
          <w:rFonts w:eastAsia="MS Mincho"/>
        </w:rPr>
        <w:fldChar w:fldCharType="end"/>
      </w:r>
      <w:r>
        <w:rPr>
          <w:rFonts w:eastAsia="MS Mincho"/>
        </w:rPr>
        <w:t xml:space="preserve">, the gNB may have already committed PDSCH and / or PDCCH resources for Slot </w:t>
      </w:r>
      <w:r w:rsidRPr="00563F3F">
        <w:rPr>
          <w:rFonts w:eastAsia="MS Mincho"/>
          <w:i/>
        </w:rPr>
        <w:t>n</w:t>
      </w:r>
      <w:r>
        <w:rPr>
          <w:rFonts w:eastAsia="MS Mincho"/>
        </w:rPr>
        <w:t xml:space="preserve">+1 and hence be unable to schedule the UE until Slot </w:t>
      </w:r>
      <w:r w:rsidRPr="00563F3F">
        <w:rPr>
          <w:rFonts w:eastAsia="MS Mincho"/>
          <w:i/>
        </w:rPr>
        <w:t>n</w:t>
      </w:r>
      <w:r>
        <w:rPr>
          <w:rFonts w:eastAsia="MS Mincho"/>
        </w:rPr>
        <w:t>+2.  Hence flexibility should be given to the scheduler as to where it can schedule the subsequent retransmission.</w:t>
      </w:r>
    </w:p>
    <w:p w14:paraId="1E001B2F" w14:textId="77777777" w:rsidR="00EF15E6" w:rsidRDefault="00EF15E6" w:rsidP="00EF15E6">
      <w:pPr>
        <w:numPr>
          <w:ilvl w:val="0"/>
          <w:numId w:val="17"/>
        </w:numPr>
        <w:overflowPunct w:val="0"/>
        <w:autoSpaceDE w:val="0"/>
        <w:autoSpaceDN w:val="0"/>
        <w:adjustRightInd w:val="0"/>
        <w:spacing w:after="180" w:line="240" w:lineRule="auto"/>
        <w:jc w:val="both"/>
        <w:textAlignment w:val="baseline"/>
        <w:rPr>
          <w:rFonts w:eastAsia="MS Mincho"/>
        </w:rPr>
      </w:pPr>
      <w:r>
        <w:rPr>
          <w:rFonts w:eastAsia="MS Mincho"/>
        </w:rPr>
        <w:t xml:space="preserve">The eMBB UE may not monitor every single slot for PDCCH but rather may be configured to monitor PDCCH periodically especially if it is being configured with DRX.  For example the UE may be in DRX between Slot </w:t>
      </w:r>
      <w:r w:rsidRPr="00563F3F">
        <w:rPr>
          <w:rFonts w:eastAsia="MS Mincho"/>
          <w:i/>
        </w:rPr>
        <w:t>n</w:t>
      </w:r>
      <w:r>
        <w:rPr>
          <w:rFonts w:eastAsia="MS Mincho"/>
        </w:rPr>
        <w:t xml:space="preserve">+1 till Slot </w:t>
      </w:r>
      <w:r w:rsidRPr="00563F3F">
        <w:rPr>
          <w:rFonts w:eastAsia="MS Mincho"/>
          <w:i/>
        </w:rPr>
        <w:t>n</w:t>
      </w:r>
      <w:r>
        <w:rPr>
          <w:rFonts w:eastAsia="MS Mincho"/>
        </w:rPr>
        <w:t xml:space="preserve">+4 and only monitor for PDCCH in Slot </w:t>
      </w:r>
      <w:r w:rsidRPr="00563F3F">
        <w:rPr>
          <w:rFonts w:eastAsia="MS Mincho"/>
          <w:i/>
        </w:rPr>
        <w:t>n</w:t>
      </w:r>
      <w:r>
        <w:rPr>
          <w:rFonts w:eastAsia="MS Mincho"/>
        </w:rPr>
        <w:t>+5 and hence may not monitor for PDCCH for a subsequent retransmission.</w:t>
      </w:r>
    </w:p>
    <w:p w14:paraId="051FA7A1" w14:textId="77777777" w:rsidR="00EF15E6" w:rsidRDefault="00EF15E6" w:rsidP="00EF15E6">
      <w:pPr>
        <w:numPr>
          <w:ilvl w:val="0"/>
          <w:numId w:val="17"/>
        </w:numPr>
        <w:overflowPunct w:val="0"/>
        <w:autoSpaceDE w:val="0"/>
        <w:autoSpaceDN w:val="0"/>
        <w:adjustRightInd w:val="0"/>
        <w:spacing w:after="180" w:line="240" w:lineRule="auto"/>
        <w:jc w:val="both"/>
        <w:textAlignment w:val="baseline"/>
        <w:rPr>
          <w:rFonts w:eastAsia="MS Mincho"/>
        </w:rPr>
      </w:pPr>
      <w:r>
        <w:rPr>
          <w:rFonts w:eastAsia="MS Mincho"/>
        </w:rPr>
        <w:lastRenderedPageBreak/>
        <w:t>The DCI format for the subsequent retransmission may be different to that of regular DL grants and so the UE would need to blind decode for a different DCI format.</w:t>
      </w:r>
    </w:p>
    <w:p w14:paraId="404F3DA5" w14:textId="77777777" w:rsidR="00051CC9" w:rsidRDefault="00051CC9" w:rsidP="00051CC9">
      <w:pPr>
        <w:rPr>
          <w:rFonts w:eastAsia="MS Mincho"/>
        </w:rPr>
      </w:pPr>
    </w:p>
    <w:p w14:paraId="3AFCBC55" w14:textId="79C8B4B5" w:rsidR="00051CC9" w:rsidRDefault="00051CC9" w:rsidP="00051CC9">
      <w:pPr>
        <w:jc w:val="center"/>
        <w:rPr>
          <w:rFonts w:eastAsia="MS Mincho"/>
        </w:rPr>
      </w:pPr>
      <w:r>
        <w:rPr>
          <w:rFonts w:eastAsia="MS Mincho"/>
          <w:noProof/>
          <w:lang w:eastAsia="en-GB"/>
        </w:rPr>
        <w:drawing>
          <wp:inline distT="0" distB="0" distL="0" distR="0" wp14:anchorId="1F82F178" wp14:editId="5AC2AF37">
            <wp:extent cx="4755515" cy="2676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55515" cy="2676525"/>
                    </a:xfrm>
                    <a:prstGeom prst="rect">
                      <a:avLst/>
                    </a:prstGeom>
                    <a:noFill/>
                  </pic:spPr>
                </pic:pic>
              </a:graphicData>
            </a:graphic>
          </wp:inline>
        </w:drawing>
      </w:r>
    </w:p>
    <w:p w14:paraId="0CD1D71C" w14:textId="77777777" w:rsidR="00051CC9" w:rsidRDefault="00051CC9" w:rsidP="00051CC9">
      <w:pPr>
        <w:pStyle w:val="Caption"/>
        <w:jc w:val="center"/>
      </w:pPr>
      <w:bookmarkStart w:id="17" w:name="_Ref481587623"/>
      <w:r>
        <w:t xml:space="preserve">Figure </w:t>
      </w:r>
      <w:r w:rsidR="000860EC">
        <w:fldChar w:fldCharType="begin"/>
      </w:r>
      <w:r w:rsidR="000860EC">
        <w:instrText xml:space="preserve"> SEQ Figure \* ARABIC </w:instrText>
      </w:r>
      <w:r w:rsidR="000860EC">
        <w:fldChar w:fldCharType="separate"/>
      </w:r>
      <w:r w:rsidR="00EF15E6">
        <w:rPr>
          <w:noProof/>
        </w:rPr>
        <w:t>5</w:t>
      </w:r>
      <w:r w:rsidR="000860EC">
        <w:rPr>
          <w:noProof/>
        </w:rPr>
        <w:fldChar w:fldCharType="end"/>
      </w:r>
      <w:bookmarkEnd w:id="17"/>
      <w:r>
        <w:t>: Subsequent retransmission</w:t>
      </w:r>
    </w:p>
    <w:p w14:paraId="594F76D9" w14:textId="77777777" w:rsidR="00051CC9" w:rsidRDefault="00051CC9" w:rsidP="00051CC9">
      <w:pPr>
        <w:jc w:val="both"/>
        <w:rPr>
          <w:rFonts w:eastAsia="MS Mincho"/>
        </w:rPr>
      </w:pPr>
      <w:r>
        <w:rPr>
          <w:rFonts w:eastAsia="MS Mincho"/>
        </w:rPr>
        <w:t>Hence, the UE should be made aware of a potential subsequent retransmission and the time period in which this subsequent retransmission may occur.  If the gNB decides not to transmit a subsequent retransmission then the UE should also be made aware of it.  One straightforward way is to indicate in the pre-emption indicator that the UE should monitor for a subsequent retransmission after the eMBB transmission and before the original HARQ-ARQ feedback time.</w:t>
      </w:r>
    </w:p>
    <w:p w14:paraId="588F5459" w14:textId="148135D1" w:rsidR="00051CC9" w:rsidRPr="006139C0" w:rsidRDefault="00051CC9" w:rsidP="00051CC9">
      <w:pPr>
        <w:jc w:val="both"/>
        <w:rPr>
          <w:rFonts w:eastAsia="MS Mincho"/>
          <w:b/>
        </w:rPr>
      </w:pPr>
      <w:r w:rsidRPr="006139C0">
        <w:rPr>
          <w:rFonts w:eastAsia="MS Mincho"/>
          <w:b/>
        </w:rPr>
        <w:t xml:space="preserve">Proposal </w:t>
      </w:r>
      <w:r>
        <w:rPr>
          <w:rFonts w:eastAsia="MS Mincho"/>
          <w:b/>
        </w:rPr>
        <w:t>8</w:t>
      </w:r>
      <w:r w:rsidRPr="006139C0">
        <w:rPr>
          <w:rFonts w:eastAsia="MS Mincho"/>
          <w:b/>
        </w:rPr>
        <w:t>: If subsequent retransmission is supported, the pre-emption indicator should also indicate whether the UE should monitor for a subsequent retransmission after the eMBB transmission and before the UE send</w:t>
      </w:r>
      <w:r>
        <w:rPr>
          <w:rFonts w:eastAsia="MS Mincho"/>
          <w:b/>
        </w:rPr>
        <w:t>s</w:t>
      </w:r>
      <w:r w:rsidRPr="006139C0">
        <w:rPr>
          <w:rFonts w:eastAsia="MS Mincho"/>
          <w:b/>
        </w:rPr>
        <w:t xml:space="preserve"> the HARQ feedback. </w:t>
      </w:r>
    </w:p>
    <w:p w14:paraId="0DA3BB4B" w14:textId="77777777" w:rsidR="00051CC9" w:rsidRDefault="00051CC9" w:rsidP="00051CC9">
      <w:pPr>
        <w:rPr>
          <w:rFonts w:eastAsia="MS Mincho"/>
        </w:rPr>
      </w:pPr>
    </w:p>
    <w:p w14:paraId="5D54E15E" w14:textId="77777777" w:rsidR="00051CC9" w:rsidRDefault="00051CC9" w:rsidP="00051CC9">
      <w:pPr>
        <w:jc w:val="both"/>
        <w:rPr>
          <w:rFonts w:eastAsia="MS Mincho"/>
        </w:rPr>
      </w:pPr>
      <w:r>
        <w:rPr>
          <w:rFonts w:eastAsia="MS Mincho"/>
        </w:rPr>
        <w:t>Since subsequent retransmission may affect the HARQ-ARQ feedback time, the HARQ-ARQ feedback resource (i.e. time) should be updated.  Since it was agreed that the HARQ feedback time is flexible, the DCI scheduling the subsequent retransmission can indicate a new HARQ feedback time which would override the original HARQ feedback time.</w:t>
      </w:r>
    </w:p>
    <w:p w14:paraId="1C56CB09" w14:textId="0F768089" w:rsidR="00051CC9" w:rsidRPr="009D2878" w:rsidRDefault="00051CC9" w:rsidP="00051CC9">
      <w:pPr>
        <w:jc w:val="both"/>
        <w:rPr>
          <w:rFonts w:eastAsia="MS Mincho"/>
          <w:b/>
        </w:rPr>
      </w:pPr>
      <w:r w:rsidRPr="009D2878">
        <w:rPr>
          <w:rFonts w:eastAsia="MS Mincho"/>
          <w:b/>
        </w:rPr>
        <w:t xml:space="preserve">Proposal </w:t>
      </w:r>
      <w:r>
        <w:rPr>
          <w:rFonts w:eastAsia="MS Mincho"/>
          <w:b/>
        </w:rPr>
        <w:t>9</w:t>
      </w:r>
      <w:r w:rsidRPr="009D2878">
        <w:rPr>
          <w:rFonts w:eastAsia="MS Mincho"/>
          <w:b/>
        </w:rPr>
        <w:t>: If subsequent retransmission is scheduled, the DCI scheduling the subsequent retransmission would indicate a new resource (time and frequency) for the HARQ feedback that overrides the resources for the original HARQ feedback.</w:t>
      </w:r>
    </w:p>
    <w:p w14:paraId="77AD4ED1" w14:textId="77777777" w:rsidR="00EF7889" w:rsidRDefault="00EF7889" w:rsidP="00226014">
      <w:pPr>
        <w:rPr>
          <w:rFonts w:eastAsia="MS Mincho"/>
          <w:b/>
          <w:lang w:val="en-US"/>
        </w:rPr>
      </w:pPr>
    </w:p>
    <w:p w14:paraId="72EE7A23" w14:textId="76E7750D" w:rsidR="00EF15E6" w:rsidRPr="00EF15E6" w:rsidRDefault="00EF15E6" w:rsidP="00EF15E6">
      <w:pPr>
        <w:pStyle w:val="Heading4"/>
        <w:rPr>
          <w:rFonts w:eastAsia="MS Mincho"/>
          <w:b/>
          <w:i/>
        </w:rPr>
      </w:pPr>
      <w:r>
        <w:rPr>
          <w:rFonts w:eastAsia="MS Mincho"/>
          <w:b/>
          <w:i/>
          <w:lang w:val="en-GB"/>
        </w:rPr>
        <w:t>Pre-emptor and PI</w:t>
      </w:r>
    </w:p>
    <w:p w14:paraId="0A762ECF" w14:textId="641C2028" w:rsidR="00EF15E6" w:rsidRPr="00EF15E6" w:rsidRDefault="00EF15E6" w:rsidP="00226014">
      <w:pPr>
        <w:rPr>
          <w:rFonts w:eastAsia="MS Mincho"/>
          <w:lang w:val="en-US"/>
        </w:rPr>
      </w:pPr>
      <w:r>
        <w:rPr>
          <w:rFonts w:eastAsia="MS Mincho"/>
          <w:lang w:val="en-US"/>
        </w:rPr>
        <w:t>In [2] it is noted that a UE receiving URLLC transmission may also be configured to monitor for PI.  Hence it is possible that this UE is the pre-emptor to other UE’s PDSCH transmission but since it reads the PI it may suffer from ghost pre-emption where it wrongly thinks that its entire transmission has been pre-empted.  In [2] it is suggested that the DCI indicates whether the UE cannot be pre-empted. An alternative is that if the entire UE PDSCH is pre-empted the UE will just attempt to decode the PDSCH TB.</w:t>
      </w:r>
    </w:p>
    <w:p w14:paraId="4EB58D01" w14:textId="7E283E9B" w:rsidR="00EF7889" w:rsidRDefault="00EF15E6" w:rsidP="00226014">
      <w:pPr>
        <w:rPr>
          <w:rFonts w:eastAsia="MS Mincho"/>
          <w:b/>
          <w:lang w:val="en-US"/>
        </w:rPr>
      </w:pPr>
      <w:r>
        <w:rPr>
          <w:rFonts w:eastAsia="MS Mincho"/>
          <w:b/>
          <w:lang w:val="en-US"/>
        </w:rPr>
        <w:lastRenderedPageBreak/>
        <w:t>Proposal 10: If the entire PDSCH of a UE is indicated to be completely (100%) pre-empted, the UE will attempt to decode the PDSCH TB</w:t>
      </w:r>
      <w:r w:rsidR="00557F1A">
        <w:rPr>
          <w:rFonts w:eastAsia="MS Mincho"/>
          <w:b/>
          <w:lang w:val="en-US"/>
        </w:rPr>
        <w:t>.</w:t>
      </w:r>
    </w:p>
    <w:p w14:paraId="68F6C501" w14:textId="77777777" w:rsidR="00EF15E6" w:rsidRPr="00B30F57" w:rsidRDefault="00EF15E6" w:rsidP="00226014">
      <w:pPr>
        <w:rPr>
          <w:rFonts w:eastAsia="MS Mincho"/>
          <w:b/>
          <w:lang w:val="en-US"/>
        </w:rPr>
      </w:pPr>
    </w:p>
    <w:p w14:paraId="4FE79190" w14:textId="57FDF5E3" w:rsidR="00B30F57" w:rsidRDefault="00B30F57" w:rsidP="00B30F57">
      <w:pPr>
        <w:pStyle w:val="Heading2"/>
        <w:numPr>
          <w:ilvl w:val="1"/>
          <w:numId w:val="9"/>
        </w:numPr>
        <w:rPr>
          <w:rFonts w:eastAsia="MS Mincho"/>
          <w:lang w:val="en-US"/>
        </w:rPr>
      </w:pPr>
      <w:r>
        <w:rPr>
          <w:rFonts w:eastAsia="MS Mincho"/>
          <w:lang w:val="en-US"/>
        </w:rPr>
        <w:t>Pre-empting DMRS</w:t>
      </w:r>
    </w:p>
    <w:p w14:paraId="39837D4D" w14:textId="2C09AA9A" w:rsidR="00B30F57" w:rsidRDefault="00B30F57" w:rsidP="00B30F57">
      <w:pPr>
        <w:rPr>
          <w:rFonts w:eastAsia="MS Mincho"/>
          <w:lang w:val="en-US"/>
        </w:rPr>
      </w:pPr>
      <w:r>
        <w:rPr>
          <w:rFonts w:eastAsia="MS Mincho"/>
          <w:lang w:val="en-US"/>
        </w:rPr>
        <w:t xml:space="preserve">If DMRS of an eMBB </w:t>
      </w:r>
      <w:r w:rsidR="00A06113">
        <w:rPr>
          <w:rFonts w:eastAsia="MS Mincho"/>
          <w:lang w:val="en-US"/>
        </w:rPr>
        <w:t xml:space="preserve">transmission </w:t>
      </w:r>
      <w:r>
        <w:rPr>
          <w:rFonts w:eastAsia="MS Mincho"/>
          <w:lang w:val="en-US"/>
        </w:rPr>
        <w:t xml:space="preserve">is pre-empted, the eMBB transmission is less likely to be decoded compared to </w:t>
      </w:r>
      <w:r w:rsidR="00A06113">
        <w:rPr>
          <w:rFonts w:eastAsia="MS Mincho"/>
          <w:lang w:val="en-US"/>
        </w:rPr>
        <w:t xml:space="preserve">a transmission with </w:t>
      </w:r>
      <w:r>
        <w:rPr>
          <w:rFonts w:eastAsia="MS Mincho"/>
          <w:lang w:val="en-US"/>
        </w:rPr>
        <w:t>an intact DMRS.  It is however noted in [4] that the DMRS for eMBB is typically front loaded and hence it is relatively easy for</w:t>
      </w:r>
      <w:r w:rsidR="00775C57">
        <w:rPr>
          <w:rFonts w:eastAsia="MS Mincho"/>
          <w:lang w:val="en-US"/>
        </w:rPr>
        <w:t xml:space="preserve"> the gNB to avoid these (one or two) symbols without causing significant delay to the URLLC transmission.  If optional DMRS are added during the eMBB transmissions, they may be pre-empted but since they are optional, it may not have significant impact to the performance.  It is therefore observed that pre-emption of eMBB DMRS can be handled via gNB scheduler implementation.</w:t>
      </w:r>
    </w:p>
    <w:p w14:paraId="20E9344A" w14:textId="725D9FF2" w:rsidR="00775C57" w:rsidRPr="00775C57" w:rsidRDefault="00775C57" w:rsidP="00B30F57">
      <w:pPr>
        <w:rPr>
          <w:rFonts w:eastAsia="MS Mincho"/>
          <w:b/>
          <w:lang w:val="en-US"/>
        </w:rPr>
      </w:pPr>
      <w:r w:rsidRPr="00775C57">
        <w:rPr>
          <w:rFonts w:eastAsia="MS Mincho"/>
          <w:b/>
          <w:lang w:val="en-US"/>
        </w:rPr>
        <w:t xml:space="preserve">Proposal </w:t>
      </w:r>
      <w:r w:rsidR="00E20450">
        <w:rPr>
          <w:rFonts w:eastAsia="MS Mincho"/>
          <w:b/>
          <w:lang w:val="en-US"/>
        </w:rPr>
        <w:t>11</w:t>
      </w:r>
      <w:r w:rsidRPr="00775C57">
        <w:rPr>
          <w:rFonts w:eastAsia="MS Mincho"/>
          <w:b/>
          <w:lang w:val="en-US"/>
        </w:rPr>
        <w:t>: Pre-emption of eMBB DMRS is handled via gNB scheduler implementation.</w:t>
      </w:r>
    </w:p>
    <w:p w14:paraId="046AD4E8" w14:textId="77777777" w:rsidR="00B30F57" w:rsidRPr="006E36E6" w:rsidRDefault="00B30F57" w:rsidP="00226014">
      <w:pPr>
        <w:rPr>
          <w:rFonts w:eastAsia="MS Mincho"/>
          <w:lang w:val="en-US"/>
        </w:rPr>
      </w:pPr>
    </w:p>
    <w:p w14:paraId="7659EBED" w14:textId="77777777" w:rsidR="00226014" w:rsidRDefault="00226014" w:rsidP="00226014">
      <w:pPr>
        <w:pStyle w:val="Heading1"/>
        <w:numPr>
          <w:ilvl w:val="0"/>
          <w:numId w:val="9"/>
        </w:numPr>
      </w:pPr>
      <w:r>
        <w:t xml:space="preserve">  Conclusion</w:t>
      </w:r>
    </w:p>
    <w:p w14:paraId="72BCCA45" w14:textId="216C88D0" w:rsidR="00226014" w:rsidRPr="004E6386" w:rsidRDefault="00226014" w:rsidP="00226014">
      <w:pPr>
        <w:jc w:val="both"/>
        <w:rPr>
          <w:lang w:val="en-US"/>
        </w:rPr>
      </w:pPr>
      <w:r w:rsidRPr="004E6386">
        <w:rPr>
          <w:lang w:val="en-US"/>
        </w:rPr>
        <w:t xml:space="preserve">In this contribution we </w:t>
      </w:r>
      <w:r w:rsidR="00775C57">
        <w:rPr>
          <w:lang w:val="en-US"/>
        </w:rPr>
        <w:t>observe the following:</w:t>
      </w:r>
    </w:p>
    <w:p w14:paraId="6DF724F2" w14:textId="77777777" w:rsidR="0030400A" w:rsidRPr="00BB6934" w:rsidRDefault="0030400A" w:rsidP="0030400A">
      <w:pPr>
        <w:rPr>
          <w:b/>
        </w:rPr>
      </w:pPr>
      <w:r w:rsidRPr="00BB6934">
        <w:rPr>
          <w:b/>
        </w:rPr>
        <w:t>Observation 1: Since BWP is UE specific but PI is carried by GC-DCI, ghost pre-emption, where the PI indicate</w:t>
      </w:r>
      <w:r>
        <w:rPr>
          <w:b/>
        </w:rPr>
        <w:t>s</w:t>
      </w:r>
      <w:r w:rsidRPr="00BB6934">
        <w:rPr>
          <w:b/>
        </w:rPr>
        <w:t xml:space="preserve"> a pre-emption that does not exist</w:t>
      </w:r>
      <w:r>
        <w:rPr>
          <w:b/>
        </w:rPr>
        <w:t>,</w:t>
      </w:r>
      <w:r w:rsidRPr="00BB6934">
        <w:rPr>
          <w:b/>
        </w:rPr>
        <w:t xml:space="preserve"> may occur.</w:t>
      </w:r>
    </w:p>
    <w:p w14:paraId="2C4255E6" w14:textId="60128448" w:rsidR="00510BDB" w:rsidRPr="00956C12" w:rsidRDefault="00510BDB" w:rsidP="00510BDB">
      <w:pPr>
        <w:rPr>
          <w:rFonts w:eastAsia="MS Mincho"/>
          <w:b/>
          <w:lang w:val="en-US"/>
        </w:rPr>
      </w:pPr>
    </w:p>
    <w:p w14:paraId="05E93175" w14:textId="2A50927C" w:rsidR="00226014" w:rsidRPr="004E6386" w:rsidRDefault="00226014" w:rsidP="00226014">
      <w:pPr>
        <w:jc w:val="both"/>
        <w:rPr>
          <w:lang w:val="en-US"/>
        </w:rPr>
      </w:pPr>
      <w:r w:rsidRPr="004E6386">
        <w:rPr>
          <w:lang w:val="en-US"/>
        </w:rPr>
        <w:t>We therefore propose the following:</w:t>
      </w:r>
    </w:p>
    <w:p w14:paraId="0241DE61" w14:textId="77777777" w:rsidR="0030400A" w:rsidRDefault="0030400A" w:rsidP="0030400A">
      <w:pPr>
        <w:rPr>
          <w:b/>
        </w:rPr>
      </w:pPr>
      <w:r>
        <w:rPr>
          <w:b/>
        </w:rPr>
        <w:t>Proposal 1: In Rel-15, the PI cannot be configured to indicate pre-emptions that are outside the frequency domain of the UE’s BWP.</w:t>
      </w:r>
    </w:p>
    <w:p w14:paraId="33FCD60D" w14:textId="77777777" w:rsidR="0030400A" w:rsidRPr="00BB6934" w:rsidRDefault="0030400A" w:rsidP="0030400A">
      <w:pPr>
        <w:rPr>
          <w:b/>
        </w:rPr>
      </w:pPr>
      <w:r>
        <w:rPr>
          <w:b/>
        </w:rPr>
        <w:t>Proposal 2</w:t>
      </w:r>
      <w:r w:rsidRPr="00BB6934">
        <w:rPr>
          <w:b/>
        </w:rPr>
        <w:t xml:space="preserve">: </w:t>
      </w:r>
      <w:r>
        <w:rPr>
          <w:b/>
        </w:rPr>
        <w:t>In Rel-15, o</w:t>
      </w:r>
      <w:r w:rsidRPr="00BB6934">
        <w:rPr>
          <w:b/>
        </w:rPr>
        <w:t>nly UEs with the same BWP can be configured with a PI carried by the same GC-DCI.</w:t>
      </w:r>
    </w:p>
    <w:p w14:paraId="53536557" w14:textId="47D0D90A" w:rsidR="00E20450" w:rsidRDefault="0030400A" w:rsidP="00E20450">
      <w:pPr>
        <w:rPr>
          <w:rFonts w:eastAsia="MS Mincho"/>
          <w:b/>
          <w:lang w:val="en-US"/>
        </w:rPr>
      </w:pPr>
      <w:r w:rsidRPr="001254E0">
        <w:rPr>
          <w:b/>
        </w:rPr>
        <w:t xml:space="preserve">Proposal 3: Allow UEs with different BWP to share a PI carried by the same GC-DCI in </w:t>
      </w:r>
      <w:r>
        <w:rPr>
          <w:b/>
        </w:rPr>
        <w:t xml:space="preserve">a </w:t>
      </w:r>
      <w:r w:rsidRPr="001254E0">
        <w:rPr>
          <w:b/>
        </w:rPr>
        <w:t>later release</w:t>
      </w:r>
      <w:r w:rsidR="00E20450" w:rsidRPr="00775C57">
        <w:rPr>
          <w:rFonts w:eastAsia="MS Mincho"/>
          <w:b/>
          <w:lang w:val="en-US"/>
        </w:rPr>
        <w:t>.</w:t>
      </w:r>
    </w:p>
    <w:p w14:paraId="32232734" w14:textId="176E53C5" w:rsidR="0030400A" w:rsidRDefault="0030400A" w:rsidP="00E20450">
      <w:pPr>
        <w:rPr>
          <w:rFonts w:eastAsia="MS Mincho"/>
          <w:b/>
          <w:lang w:val="en-US"/>
        </w:rPr>
      </w:pPr>
      <w:r w:rsidRPr="004A350F">
        <w:rPr>
          <w:b/>
        </w:rPr>
        <w:t>Proposal 4: In the time domain, the GC-DCI carrying the PI is located at the end and inside of the RDR.</w:t>
      </w:r>
    </w:p>
    <w:p w14:paraId="09A3D62D" w14:textId="783B276F" w:rsidR="0030400A" w:rsidRDefault="0030400A" w:rsidP="00E20450">
      <w:pPr>
        <w:rPr>
          <w:b/>
        </w:rPr>
      </w:pPr>
      <w:r w:rsidRPr="00CE5B43">
        <w:rPr>
          <w:b/>
        </w:rPr>
        <w:t>Proposal 5: The UE signals its capability to support mini-slot monitoring periodicity of GC-DCI carrying PI</w:t>
      </w:r>
      <w:r>
        <w:rPr>
          <w:b/>
        </w:rPr>
        <w:t>.</w:t>
      </w:r>
    </w:p>
    <w:p w14:paraId="1D07B976" w14:textId="77777777" w:rsidR="0030400A" w:rsidRDefault="0030400A" w:rsidP="0030400A">
      <w:pPr>
        <w:rPr>
          <w:b/>
        </w:rPr>
      </w:pPr>
      <w:r w:rsidRPr="00051CC9">
        <w:rPr>
          <w:b/>
        </w:rPr>
        <w:t xml:space="preserve">Proposal 6: </w:t>
      </w:r>
      <w:r>
        <w:rPr>
          <w:b/>
        </w:rPr>
        <w:t>LS</w:t>
      </w:r>
      <w:r w:rsidRPr="00051CC9">
        <w:rPr>
          <w:b/>
        </w:rPr>
        <w:t xml:space="preserve"> to RAN4 to test the performance of large PDSCH demodulation </w:t>
      </w:r>
      <w:r>
        <w:rPr>
          <w:b/>
        </w:rPr>
        <w:t>that is partially pre-empted</w:t>
      </w:r>
      <w:r w:rsidRPr="00051CC9">
        <w:rPr>
          <w:b/>
        </w:rPr>
        <w:t xml:space="preserve"> by another shorter PDSCH transmission taking into account PI.  This test </w:t>
      </w:r>
      <w:r>
        <w:rPr>
          <w:b/>
        </w:rPr>
        <w:t xml:space="preserve">should </w:t>
      </w:r>
      <w:r w:rsidRPr="00051CC9">
        <w:rPr>
          <w:b/>
        </w:rPr>
        <w:t>assume a suitable PDSCH processing time at the UE.</w:t>
      </w:r>
    </w:p>
    <w:p w14:paraId="00EF9322" w14:textId="77777777" w:rsidR="0030400A" w:rsidRPr="00051CC9" w:rsidRDefault="0030400A" w:rsidP="0030400A">
      <w:pPr>
        <w:rPr>
          <w:rFonts w:eastAsia="MS Mincho"/>
          <w:b/>
          <w:lang w:val="en-US"/>
        </w:rPr>
      </w:pPr>
      <w:r w:rsidRPr="00051CC9">
        <w:rPr>
          <w:rFonts w:eastAsia="MS Mincho"/>
          <w:b/>
          <w:lang w:val="en-US"/>
        </w:rPr>
        <w:t>Proposal 7: When PI and CBGFI are transmitted to the UE, the UE will apply whichever indicator arrives first.  If both indicators arrive at the same time the UE will apply the PI.</w:t>
      </w:r>
    </w:p>
    <w:p w14:paraId="5A8F8168" w14:textId="77777777" w:rsidR="0030400A" w:rsidRPr="006139C0" w:rsidRDefault="0030400A" w:rsidP="0030400A">
      <w:pPr>
        <w:jc w:val="both"/>
        <w:rPr>
          <w:rFonts w:eastAsia="MS Mincho"/>
          <w:b/>
        </w:rPr>
      </w:pPr>
      <w:r w:rsidRPr="006139C0">
        <w:rPr>
          <w:rFonts w:eastAsia="MS Mincho"/>
          <w:b/>
        </w:rPr>
        <w:t xml:space="preserve">Proposal </w:t>
      </w:r>
      <w:r>
        <w:rPr>
          <w:rFonts w:eastAsia="MS Mincho"/>
          <w:b/>
        </w:rPr>
        <w:t>8</w:t>
      </w:r>
      <w:r w:rsidRPr="006139C0">
        <w:rPr>
          <w:rFonts w:eastAsia="MS Mincho"/>
          <w:b/>
        </w:rPr>
        <w:t>: If subsequent retransmission is supported, the pre-emption indicator should also indicate whether the UE should monitor for a subsequent retransmission after the eMBB transmission and before the UE send</w:t>
      </w:r>
      <w:r>
        <w:rPr>
          <w:rFonts w:eastAsia="MS Mincho"/>
          <w:b/>
        </w:rPr>
        <w:t>s</w:t>
      </w:r>
      <w:r w:rsidRPr="006139C0">
        <w:rPr>
          <w:rFonts w:eastAsia="MS Mincho"/>
          <w:b/>
        </w:rPr>
        <w:t xml:space="preserve"> the HARQ feedback. </w:t>
      </w:r>
    </w:p>
    <w:p w14:paraId="7B89BB9F" w14:textId="77777777" w:rsidR="0030400A" w:rsidRPr="009D2878" w:rsidRDefault="0030400A" w:rsidP="0030400A">
      <w:pPr>
        <w:jc w:val="both"/>
        <w:rPr>
          <w:rFonts w:eastAsia="MS Mincho"/>
          <w:b/>
        </w:rPr>
      </w:pPr>
      <w:r w:rsidRPr="009D2878">
        <w:rPr>
          <w:rFonts w:eastAsia="MS Mincho"/>
          <w:b/>
        </w:rPr>
        <w:lastRenderedPageBreak/>
        <w:t xml:space="preserve">Proposal </w:t>
      </w:r>
      <w:r>
        <w:rPr>
          <w:rFonts w:eastAsia="MS Mincho"/>
          <w:b/>
        </w:rPr>
        <w:t>9</w:t>
      </w:r>
      <w:r w:rsidRPr="009D2878">
        <w:rPr>
          <w:rFonts w:eastAsia="MS Mincho"/>
          <w:b/>
        </w:rPr>
        <w:t>: If subsequent retransmission is scheduled, the DCI scheduling the subsequent retransmission would indicate a new resource (time and frequency) for the HARQ feedback that overrides the resources for the original HARQ feedback.</w:t>
      </w:r>
    </w:p>
    <w:p w14:paraId="2056E3A8" w14:textId="77777777" w:rsidR="0030400A" w:rsidRDefault="0030400A" w:rsidP="0030400A">
      <w:pPr>
        <w:rPr>
          <w:rFonts w:eastAsia="MS Mincho"/>
          <w:b/>
          <w:lang w:val="en-US"/>
        </w:rPr>
      </w:pPr>
      <w:r>
        <w:rPr>
          <w:rFonts w:eastAsia="MS Mincho"/>
          <w:b/>
          <w:lang w:val="en-US"/>
        </w:rPr>
        <w:t>Proposal 10: If the entire PDSCH of a UE is indicated to be completely (100%) pre-empted, the UE will attempt to decode the PDSCH TB.</w:t>
      </w:r>
    </w:p>
    <w:p w14:paraId="7D8A6C8D" w14:textId="77777777" w:rsidR="0030400A" w:rsidRPr="00775C57" w:rsidRDefault="0030400A" w:rsidP="0030400A">
      <w:pPr>
        <w:rPr>
          <w:rFonts w:eastAsia="MS Mincho"/>
          <w:b/>
          <w:lang w:val="en-US"/>
        </w:rPr>
      </w:pPr>
      <w:r w:rsidRPr="00775C57">
        <w:rPr>
          <w:rFonts w:eastAsia="MS Mincho"/>
          <w:b/>
          <w:lang w:val="en-US"/>
        </w:rPr>
        <w:t>Pro</w:t>
      </w:r>
      <w:bookmarkStart w:id="18" w:name="_GoBack"/>
      <w:bookmarkEnd w:id="18"/>
      <w:r w:rsidRPr="00775C57">
        <w:rPr>
          <w:rFonts w:eastAsia="MS Mincho"/>
          <w:b/>
          <w:lang w:val="en-US"/>
        </w:rPr>
        <w:t xml:space="preserve">posal </w:t>
      </w:r>
      <w:r>
        <w:rPr>
          <w:rFonts w:eastAsia="MS Mincho"/>
          <w:b/>
          <w:lang w:val="en-US"/>
        </w:rPr>
        <w:t>11</w:t>
      </w:r>
      <w:r w:rsidRPr="00775C57">
        <w:rPr>
          <w:rFonts w:eastAsia="MS Mincho"/>
          <w:b/>
          <w:lang w:val="en-US"/>
        </w:rPr>
        <w:t>: Pre-emption of eMBB DMRS is handled via gNB scheduler implementation.</w:t>
      </w:r>
    </w:p>
    <w:p w14:paraId="3FE2BB60" w14:textId="77777777" w:rsidR="0030400A" w:rsidRDefault="0030400A" w:rsidP="00E20450">
      <w:pPr>
        <w:rPr>
          <w:b/>
        </w:rPr>
      </w:pPr>
    </w:p>
    <w:p w14:paraId="531D7ED8" w14:textId="77777777" w:rsidR="00226014" w:rsidRDefault="00226014" w:rsidP="00226014">
      <w:pPr>
        <w:pStyle w:val="Heading1"/>
        <w:numPr>
          <w:ilvl w:val="0"/>
          <w:numId w:val="9"/>
        </w:numPr>
      </w:pPr>
      <w:r>
        <w:t>References</w:t>
      </w:r>
    </w:p>
    <w:p w14:paraId="27071D2D" w14:textId="37FEEB80" w:rsidR="000B4A2B" w:rsidRPr="00734D40" w:rsidRDefault="00AD385C" w:rsidP="000B4A2B">
      <w:pPr>
        <w:rPr>
          <w:lang w:val="en-US"/>
        </w:rPr>
      </w:pPr>
      <w:r>
        <w:rPr>
          <w:lang w:val="en-US"/>
        </w:rPr>
        <w:t xml:space="preserve">[1] </w:t>
      </w:r>
      <w:r w:rsidR="000B4A2B" w:rsidRPr="000B4A2B">
        <w:rPr>
          <w:lang w:val="en-US"/>
        </w:rPr>
        <w:t>R1-1718657</w:t>
      </w:r>
      <w:r w:rsidR="000B4A2B">
        <w:rPr>
          <w:lang w:val="en-US"/>
        </w:rPr>
        <w:t>, “</w:t>
      </w:r>
      <w:r w:rsidR="000B4A2B" w:rsidRPr="000B4A2B">
        <w:rPr>
          <w:lang w:val="en-US"/>
        </w:rPr>
        <w:t>Myths and remaining issues in Pre-emption Indicator</w:t>
      </w:r>
      <w:r w:rsidR="000B4A2B">
        <w:rPr>
          <w:lang w:val="en-US"/>
        </w:rPr>
        <w:t>,” Sony, RAN1#90bis</w:t>
      </w:r>
    </w:p>
    <w:p w14:paraId="1AFADB1B" w14:textId="2BD8BC97" w:rsidR="00BF1961" w:rsidRPr="00BF1961" w:rsidRDefault="00BF1961" w:rsidP="00BF1961">
      <w:pPr>
        <w:rPr>
          <w:lang w:val="en-US"/>
        </w:rPr>
      </w:pPr>
      <w:r>
        <w:rPr>
          <w:lang w:val="en-US"/>
        </w:rPr>
        <w:t>[2] R1-1717398, “</w:t>
      </w:r>
      <w:r w:rsidRPr="00BF1961">
        <w:rPr>
          <w:lang w:val="en-US"/>
        </w:rPr>
        <w:t>Multiplexing of d</w:t>
      </w:r>
      <w:r>
        <w:rPr>
          <w:lang w:val="en-US"/>
        </w:rPr>
        <w:t xml:space="preserve">ifferent data channel durations,” </w:t>
      </w:r>
      <w:r w:rsidRPr="00BF1961">
        <w:rPr>
          <w:lang w:val="en-US"/>
        </w:rPr>
        <w:t>Intel Corporation</w:t>
      </w:r>
      <w:r>
        <w:rPr>
          <w:lang w:val="en-US"/>
        </w:rPr>
        <w:t>, RAN1#90bis</w:t>
      </w:r>
    </w:p>
    <w:p w14:paraId="474CFB69" w14:textId="3D33275E" w:rsidR="008C7C1C" w:rsidRDefault="00BF1961" w:rsidP="00BF1961">
      <w:pPr>
        <w:rPr>
          <w:lang w:val="en-US"/>
        </w:rPr>
      </w:pPr>
      <w:r>
        <w:rPr>
          <w:lang w:val="en-US"/>
        </w:rPr>
        <w:t>[3] R1-1717502, “</w:t>
      </w:r>
      <w:r w:rsidRPr="00BF1961">
        <w:rPr>
          <w:lang w:val="en-US"/>
        </w:rPr>
        <w:t>Multiplexing data with different transmission durations</w:t>
      </w:r>
      <w:r>
        <w:rPr>
          <w:lang w:val="en-US"/>
        </w:rPr>
        <w:t xml:space="preserve">,” </w:t>
      </w:r>
      <w:r w:rsidRPr="00BF1961">
        <w:rPr>
          <w:lang w:val="en-US"/>
        </w:rPr>
        <w:t>vivo</w:t>
      </w:r>
      <w:r>
        <w:rPr>
          <w:lang w:val="en-US"/>
        </w:rPr>
        <w:t>, RAN1#90bis</w:t>
      </w:r>
    </w:p>
    <w:p w14:paraId="55D8F8E4" w14:textId="08932519" w:rsidR="00B30F57" w:rsidRDefault="00B30F57" w:rsidP="00BF1961">
      <w:pPr>
        <w:rPr>
          <w:lang w:val="en-US"/>
        </w:rPr>
      </w:pPr>
      <w:r>
        <w:rPr>
          <w:lang w:val="en-US"/>
        </w:rPr>
        <w:t>[4] R1-1717081, “</w:t>
      </w:r>
      <w:r w:rsidRPr="00B30F57">
        <w:rPr>
          <w:lang w:val="en-US"/>
        </w:rPr>
        <w:t>On pre-emption indication for DL multiplexing of U</w:t>
      </w:r>
      <w:r>
        <w:rPr>
          <w:lang w:val="en-US"/>
        </w:rPr>
        <w:t xml:space="preserve">RLLC and eMBB,” </w:t>
      </w:r>
      <w:r w:rsidRPr="00B30F57">
        <w:rPr>
          <w:lang w:val="en-US"/>
        </w:rPr>
        <w:t>Huawei, HiSilicon</w:t>
      </w:r>
      <w:r>
        <w:rPr>
          <w:lang w:val="en-US"/>
        </w:rPr>
        <w:t>, RAN1#90bis</w:t>
      </w:r>
    </w:p>
    <w:p w14:paraId="23C97AE4" w14:textId="13FEAE4C" w:rsidR="00051CC9" w:rsidRPr="00734D40" w:rsidRDefault="00051CC9" w:rsidP="00BF1961">
      <w:pPr>
        <w:rPr>
          <w:lang w:val="en-US"/>
        </w:rPr>
      </w:pPr>
      <w:r>
        <w:rPr>
          <w:lang w:val="en-US"/>
        </w:rPr>
        <w:t xml:space="preserve">[5] </w:t>
      </w:r>
      <w:r w:rsidRPr="00E70DF5">
        <w:t>R1-1704216</w:t>
      </w:r>
      <w:r>
        <w:t>, “</w:t>
      </w:r>
      <w:r w:rsidRPr="00E70DF5">
        <w:t>On DL multiplexing of URLLC and eMBB transmissions</w:t>
      </w:r>
      <w:r>
        <w:t xml:space="preserve">,” </w:t>
      </w:r>
      <w:r w:rsidRPr="00E70DF5">
        <w:t>Huawei, HiSilicon</w:t>
      </w:r>
      <w:r>
        <w:t>, RAN1#88bis</w:t>
      </w:r>
    </w:p>
    <w:sectPr w:rsidR="00051CC9" w:rsidRPr="00734D4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E6945D" w14:textId="77777777" w:rsidR="000860EC" w:rsidRDefault="000860EC">
      <w:r>
        <w:separator/>
      </w:r>
    </w:p>
  </w:endnote>
  <w:endnote w:type="continuationSeparator" w:id="0">
    <w:p w14:paraId="1B2D738F" w14:textId="77777777" w:rsidR="000860EC" w:rsidRDefault="00086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76F5D" w14:textId="77777777" w:rsidR="000860EC" w:rsidRDefault="000860EC">
      <w:r>
        <w:separator/>
      </w:r>
    </w:p>
  </w:footnote>
  <w:footnote w:type="continuationSeparator" w:id="0">
    <w:p w14:paraId="7F91E665" w14:textId="77777777" w:rsidR="000860EC" w:rsidRDefault="000860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1"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8"/>
  </w:num>
  <w:num w:numId="2">
    <w:abstractNumId w:val="15"/>
  </w:num>
  <w:num w:numId="3">
    <w:abstractNumId w:val="9"/>
  </w:num>
  <w:num w:numId="4">
    <w:abstractNumId w:val="7"/>
  </w:num>
  <w:num w:numId="5">
    <w:abstractNumId w:val="2"/>
  </w:num>
  <w:num w:numId="6">
    <w:abstractNumId w:val="14"/>
  </w:num>
  <w:num w:numId="7">
    <w:abstractNumId w:val="13"/>
  </w:num>
  <w:num w:numId="8">
    <w:abstractNumId w:val="16"/>
  </w:num>
  <w:num w:numId="9">
    <w:abstractNumId w:val="0"/>
  </w:num>
  <w:num w:numId="10">
    <w:abstractNumId w:val="10"/>
  </w:num>
  <w:num w:numId="11">
    <w:abstractNumId w:val="5"/>
  </w:num>
  <w:num w:numId="12">
    <w:abstractNumId w:val="1"/>
  </w:num>
  <w:num w:numId="13">
    <w:abstractNumId w:val="11"/>
  </w:num>
  <w:num w:numId="14">
    <w:abstractNumId w:val="3"/>
  </w:num>
  <w:num w:numId="15">
    <w:abstractNumId w:val="12"/>
  </w:num>
  <w:num w:numId="16">
    <w:abstractNumId w:val="4"/>
  </w:num>
  <w:num w:numId="1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68"/>
  <w:removePersonalInformation/>
  <w:removeDateAndTime/>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17700"/>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1CC9"/>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84"/>
    <w:rsid w:val="00072BBA"/>
    <w:rsid w:val="00074631"/>
    <w:rsid w:val="00075240"/>
    <w:rsid w:val="00076759"/>
    <w:rsid w:val="000768C2"/>
    <w:rsid w:val="000772A2"/>
    <w:rsid w:val="00077435"/>
    <w:rsid w:val="00080202"/>
    <w:rsid w:val="00080295"/>
    <w:rsid w:val="000815A3"/>
    <w:rsid w:val="00081762"/>
    <w:rsid w:val="000825D7"/>
    <w:rsid w:val="000825E5"/>
    <w:rsid w:val="00083880"/>
    <w:rsid w:val="00084EF6"/>
    <w:rsid w:val="00084F31"/>
    <w:rsid w:val="00085193"/>
    <w:rsid w:val="000851DE"/>
    <w:rsid w:val="00085358"/>
    <w:rsid w:val="00085A6C"/>
    <w:rsid w:val="000860EC"/>
    <w:rsid w:val="00086A6E"/>
    <w:rsid w:val="00086A6F"/>
    <w:rsid w:val="00086B41"/>
    <w:rsid w:val="00087FE2"/>
    <w:rsid w:val="00090E68"/>
    <w:rsid w:val="00091081"/>
    <w:rsid w:val="00091E72"/>
    <w:rsid w:val="000926C6"/>
    <w:rsid w:val="00092FCA"/>
    <w:rsid w:val="00093A40"/>
    <w:rsid w:val="00093ABB"/>
    <w:rsid w:val="00093DAB"/>
    <w:rsid w:val="00094037"/>
    <w:rsid w:val="00094B89"/>
    <w:rsid w:val="00095196"/>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A4D"/>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09B"/>
    <w:rsid w:val="000F46FF"/>
    <w:rsid w:val="000F7FEC"/>
    <w:rsid w:val="00100BDB"/>
    <w:rsid w:val="00102D92"/>
    <w:rsid w:val="001039C1"/>
    <w:rsid w:val="00103BF1"/>
    <w:rsid w:val="00104A5D"/>
    <w:rsid w:val="00104CBF"/>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53B0"/>
    <w:rsid w:val="0014694E"/>
    <w:rsid w:val="00146D3F"/>
    <w:rsid w:val="0014763F"/>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6020"/>
    <w:rsid w:val="001E6C1F"/>
    <w:rsid w:val="001F0541"/>
    <w:rsid w:val="001F06F5"/>
    <w:rsid w:val="001F089A"/>
    <w:rsid w:val="001F3613"/>
    <w:rsid w:val="001F3B85"/>
    <w:rsid w:val="001F48BC"/>
    <w:rsid w:val="001F6769"/>
    <w:rsid w:val="001F7B7B"/>
    <w:rsid w:val="00200D51"/>
    <w:rsid w:val="00201AED"/>
    <w:rsid w:val="002026D6"/>
    <w:rsid w:val="00202719"/>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BF4"/>
    <w:rsid w:val="00237CFD"/>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518F"/>
    <w:rsid w:val="00255E54"/>
    <w:rsid w:val="0025724F"/>
    <w:rsid w:val="00257C0B"/>
    <w:rsid w:val="002611A6"/>
    <w:rsid w:val="002616B5"/>
    <w:rsid w:val="002636F9"/>
    <w:rsid w:val="002643AC"/>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C35"/>
    <w:rsid w:val="002A610A"/>
    <w:rsid w:val="002A66A3"/>
    <w:rsid w:val="002A6F10"/>
    <w:rsid w:val="002A6FDD"/>
    <w:rsid w:val="002B0178"/>
    <w:rsid w:val="002B12C8"/>
    <w:rsid w:val="002B1714"/>
    <w:rsid w:val="002B1B24"/>
    <w:rsid w:val="002B2AD0"/>
    <w:rsid w:val="002B338A"/>
    <w:rsid w:val="002B4252"/>
    <w:rsid w:val="002B5486"/>
    <w:rsid w:val="002B6B85"/>
    <w:rsid w:val="002B7713"/>
    <w:rsid w:val="002B7EB9"/>
    <w:rsid w:val="002C0869"/>
    <w:rsid w:val="002C1170"/>
    <w:rsid w:val="002C1C0C"/>
    <w:rsid w:val="002C21B4"/>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00A"/>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385F"/>
    <w:rsid w:val="00364998"/>
    <w:rsid w:val="0036512D"/>
    <w:rsid w:val="0036745C"/>
    <w:rsid w:val="0036795D"/>
    <w:rsid w:val="00367A49"/>
    <w:rsid w:val="00370082"/>
    <w:rsid w:val="0037087A"/>
    <w:rsid w:val="00370B27"/>
    <w:rsid w:val="00371D2E"/>
    <w:rsid w:val="00372408"/>
    <w:rsid w:val="00372B12"/>
    <w:rsid w:val="00373955"/>
    <w:rsid w:val="00375E20"/>
    <w:rsid w:val="00375F8F"/>
    <w:rsid w:val="0037628D"/>
    <w:rsid w:val="00376B4A"/>
    <w:rsid w:val="00377680"/>
    <w:rsid w:val="0037791B"/>
    <w:rsid w:val="00380069"/>
    <w:rsid w:val="00380393"/>
    <w:rsid w:val="0038209B"/>
    <w:rsid w:val="00382CB1"/>
    <w:rsid w:val="00383560"/>
    <w:rsid w:val="00383AD0"/>
    <w:rsid w:val="0038446C"/>
    <w:rsid w:val="00384BBB"/>
    <w:rsid w:val="00385E29"/>
    <w:rsid w:val="003866FF"/>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559"/>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7B13"/>
    <w:rsid w:val="003F7DA7"/>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314D0"/>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922"/>
    <w:rsid w:val="00455DBF"/>
    <w:rsid w:val="0045736F"/>
    <w:rsid w:val="00457B1E"/>
    <w:rsid w:val="00457D12"/>
    <w:rsid w:val="004608CA"/>
    <w:rsid w:val="00461C0B"/>
    <w:rsid w:val="00461C6F"/>
    <w:rsid w:val="00461F29"/>
    <w:rsid w:val="00464032"/>
    <w:rsid w:val="004641E0"/>
    <w:rsid w:val="00464E7B"/>
    <w:rsid w:val="0046547A"/>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F1A"/>
    <w:rsid w:val="00484679"/>
    <w:rsid w:val="004868BA"/>
    <w:rsid w:val="00487708"/>
    <w:rsid w:val="00487FD0"/>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5633"/>
    <w:rsid w:val="005258A3"/>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1A"/>
    <w:rsid w:val="00560F5F"/>
    <w:rsid w:val="00561678"/>
    <w:rsid w:val="00561870"/>
    <w:rsid w:val="00561F4E"/>
    <w:rsid w:val="00563610"/>
    <w:rsid w:val="0056397A"/>
    <w:rsid w:val="00563F3F"/>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BCB"/>
    <w:rsid w:val="005D1238"/>
    <w:rsid w:val="005D33B0"/>
    <w:rsid w:val="005D3C59"/>
    <w:rsid w:val="005D3E1C"/>
    <w:rsid w:val="005D4EA4"/>
    <w:rsid w:val="005D6F96"/>
    <w:rsid w:val="005D76CC"/>
    <w:rsid w:val="005E4F17"/>
    <w:rsid w:val="005E5C5A"/>
    <w:rsid w:val="005F09AC"/>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777"/>
    <w:rsid w:val="00670999"/>
    <w:rsid w:val="00672722"/>
    <w:rsid w:val="00672882"/>
    <w:rsid w:val="00673305"/>
    <w:rsid w:val="0067651B"/>
    <w:rsid w:val="00676915"/>
    <w:rsid w:val="00676B76"/>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70BA"/>
    <w:rsid w:val="006B74A4"/>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9EE"/>
    <w:rsid w:val="00730B54"/>
    <w:rsid w:val="0073110A"/>
    <w:rsid w:val="00732778"/>
    <w:rsid w:val="00732AA5"/>
    <w:rsid w:val="00733769"/>
    <w:rsid w:val="0073419C"/>
    <w:rsid w:val="007341C4"/>
    <w:rsid w:val="00734D40"/>
    <w:rsid w:val="0074110A"/>
    <w:rsid w:val="00744132"/>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1264"/>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01CE"/>
    <w:rsid w:val="007B0D69"/>
    <w:rsid w:val="007B178B"/>
    <w:rsid w:val="007B1A06"/>
    <w:rsid w:val="007B1DF9"/>
    <w:rsid w:val="007B1EE7"/>
    <w:rsid w:val="007B33FE"/>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EF"/>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E60"/>
    <w:rsid w:val="00823F69"/>
    <w:rsid w:val="0082460D"/>
    <w:rsid w:val="008250AB"/>
    <w:rsid w:val="00825BB3"/>
    <w:rsid w:val="00825D6A"/>
    <w:rsid w:val="00826412"/>
    <w:rsid w:val="008264A5"/>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26FE"/>
    <w:rsid w:val="00843091"/>
    <w:rsid w:val="008430BD"/>
    <w:rsid w:val="008434CD"/>
    <w:rsid w:val="008436FA"/>
    <w:rsid w:val="00843CA0"/>
    <w:rsid w:val="00844222"/>
    <w:rsid w:val="0084477E"/>
    <w:rsid w:val="00844FA2"/>
    <w:rsid w:val="0084523D"/>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95C"/>
    <w:rsid w:val="008A6A6F"/>
    <w:rsid w:val="008B0259"/>
    <w:rsid w:val="008B09B6"/>
    <w:rsid w:val="008B19E2"/>
    <w:rsid w:val="008B2BBE"/>
    <w:rsid w:val="008B2CFD"/>
    <w:rsid w:val="008B3B72"/>
    <w:rsid w:val="008B563B"/>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6D63"/>
    <w:rsid w:val="008C71BB"/>
    <w:rsid w:val="008C79F1"/>
    <w:rsid w:val="008C7C1C"/>
    <w:rsid w:val="008D0990"/>
    <w:rsid w:val="008D1EC8"/>
    <w:rsid w:val="008D2155"/>
    <w:rsid w:val="008D2374"/>
    <w:rsid w:val="008D23ED"/>
    <w:rsid w:val="008D28D0"/>
    <w:rsid w:val="008D33CC"/>
    <w:rsid w:val="008D34DD"/>
    <w:rsid w:val="008D5459"/>
    <w:rsid w:val="008D5610"/>
    <w:rsid w:val="008D6B0A"/>
    <w:rsid w:val="008D7027"/>
    <w:rsid w:val="008D79ED"/>
    <w:rsid w:val="008D7A09"/>
    <w:rsid w:val="008E2016"/>
    <w:rsid w:val="008E2850"/>
    <w:rsid w:val="008E357B"/>
    <w:rsid w:val="008E3E4F"/>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6B66"/>
    <w:rsid w:val="00916CCA"/>
    <w:rsid w:val="009175CD"/>
    <w:rsid w:val="00922563"/>
    <w:rsid w:val="00925056"/>
    <w:rsid w:val="00925E68"/>
    <w:rsid w:val="00925F38"/>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70F97"/>
    <w:rsid w:val="009710D2"/>
    <w:rsid w:val="00971279"/>
    <w:rsid w:val="0097138A"/>
    <w:rsid w:val="00971AAA"/>
    <w:rsid w:val="00973E93"/>
    <w:rsid w:val="00974545"/>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A145D"/>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5DDE"/>
    <w:rsid w:val="009B5FD5"/>
    <w:rsid w:val="009B6EB6"/>
    <w:rsid w:val="009B75DD"/>
    <w:rsid w:val="009B77BC"/>
    <w:rsid w:val="009C2569"/>
    <w:rsid w:val="009C2EE1"/>
    <w:rsid w:val="009C30E6"/>
    <w:rsid w:val="009C329E"/>
    <w:rsid w:val="009C367C"/>
    <w:rsid w:val="009C485B"/>
    <w:rsid w:val="009C4965"/>
    <w:rsid w:val="009C62F1"/>
    <w:rsid w:val="009C6B67"/>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5426"/>
    <w:rsid w:val="00A05998"/>
    <w:rsid w:val="00A06113"/>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847"/>
    <w:rsid w:val="00AF4AA5"/>
    <w:rsid w:val="00AF5B9B"/>
    <w:rsid w:val="00AF5E63"/>
    <w:rsid w:val="00AF6B56"/>
    <w:rsid w:val="00AF6C62"/>
    <w:rsid w:val="00AF7A58"/>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E0A"/>
    <w:rsid w:val="00B1697C"/>
    <w:rsid w:val="00B201FF"/>
    <w:rsid w:val="00B220AB"/>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A51"/>
    <w:rsid w:val="00B80D10"/>
    <w:rsid w:val="00B8188E"/>
    <w:rsid w:val="00B81D69"/>
    <w:rsid w:val="00B82E10"/>
    <w:rsid w:val="00B83CD1"/>
    <w:rsid w:val="00B850DC"/>
    <w:rsid w:val="00B86DB8"/>
    <w:rsid w:val="00B876C8"/>
    <w:rsid w:val="00B929C1"/>
    <w:rsid w:val="00B93CD6"/>
    <w:rsid w:val="00B94C09"/>
    <w:rsid w:val="00B9609B"/>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53F"/>
    <w:rsid w:val="00BB1ECC"/>
    <w:rsid w:val="00BB2B80"/>
    <w:rsid w:val="00BB315F"/>
    <w:rsid w:val="00BB31D8"/>
    <w:rsid w:val="00BB4398"/>
    <w:rsid w:val="00BB44EB"/>
    <w:rsid w:val="00BB5E28"/>
    <w:rsid w:val="00BB6934"/>
    <w:rsid w:val="00BB7541"/>
    <w:rsid w:val="00BB7DF4"/>
    <w:rsid w:val="00BC0D77"/>
    <w:rsid w:val="00BC1245"/>
    <w:rsid w:val="00BC216A"/>
    <w:rsid w:val="00BC405B"/>
    <w:rsid w:val="00BC4315"/>
    <w:rsid w:val="00BC4449"/>
    <w:rsid w:val="00BC44B2"/>
    <w:rsid w:val="00BC52B5"/>
    <w:rsid w:val="00BC52E5"/>
    <w:rsid w:val="00BD2054"/>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655"/>
    <w:rsid w:val="00C07763"/>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5997"/>
    <w:rsid w:val="00C85D3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C0D"/>
    <w:rsid w:val="00CB5329"/>
    <w:rsid w:val="00CB56C8"/>
    <w:rsid w:val="00CB648F"/>
    <w:rsid w:val="00CB6B09"/>
    <w:rsid w:val="00CB7F62"/>
    <w:rsid w:val="00CC0314"/>
    <w:rsid w:val="00CC1607"/>
    <w:rsid w:val="00CC1DAA"/>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5982"/>
    <w:rsid w:val="00CE5B43"/>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47580"/>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20CF"/>
    <w:rsid w:val="00D63667"/>
    <w:rsid w:val="00D6375C"/>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CA3"/>
    <w:rsid w:val="00DA58AE"/>
    <w:rsid w:val="00DB0323"/>
    <w:rsid w:val="00DB1357"/>
    <w:rsid w:val="00DB2926"/>
    <w:rsid w:val="00DB29E6"/>
    <w:rsid w:val="00DB2AD0"/>
    <w:rsid w:val="00DB2D40"/>
    <w:rsid w:val="00DB3196"/>
    <w:rsid w:val="00DB401B"/>
    <w:rsid w:val="00DB42CB"/>
    <w:rsid w:val="00DB5CB9"/>
    <w:rsid w:val="00DB6162"/>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AC5"/>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450"/>
    <w:rsid w:val="00E212FF"/>
    <w:rsid w:val="00E21E3B"/>
    <w:rsid w:val="00E22997"/>
    <w:rsid w:val="00E2319F"/>
    <w:rsid w:val="00E237F9"/>
    <w:rsid w:val="00E23EEA"/>
    <w:rsid w:val="00E24657"/>
    <w:rsid w:val="00E3298A"/>
    <w:rsid w:val="00E32C78"/>
    <w:rsid w:val="00E3346D"/>
    <w:rsid w:val="00E33C88"/>
    <w:rsid w:val="00E33EB2"/>
    <w:rsid w:val="00E34382"/>
    <w:rsid w:val="00E34714"/>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DC2"/>
    <w:rsid w:val="00E85E4F"/>
    <w:rsid w:val="00E861FB"/>
    <w:rsid w:val="00E8623D"/>
    <w:rsid w:val="00E87D37"/>
    <w:rsid w:val="00E90724"/>
    <w:rsid w:val="00E922B2"/>
    <w:rsid w:val="00E9249F"/>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70F2"/>
    <w:rsid w:val="00ED737B"/>
    <w:rsid w:val="00ED761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D83"/>
    <w:rsid w:val="00EF304F"/>
    <w:rsid w:val="00EF3154"/>
    <w:rsid w:val="00EF4A7D"/>
    <w:rsid w:val="00EF5CBA"/>
    <w:rsid w:val="00EF7889"/>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44F7"/>
    <w:rsid w:val="00F14D62"/>
    <w:rsid w:val="00F16732"/>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10ED"/>
    <w:rsid w:val="00FB249A"/>
    <w:rsid w:val="00FB2545"/>
    <w:rsid w:val="00FB2BF2"/>
    <w:rsid w:val="00FB3EDF"/>
    <w:rsid w:val="00FB41AB"/>
    <w:rsid w:val="00FB4961"/>
    <w:rsid w:val="00FB49E2"/>
    <w:rsid w:val="00FB5902"/>
    <w:rsid w:val="00FB65B9"/>
    <w:rsid w:val="00FB6732"/>
    <w:rsid w:val="00FB6E34"/>
    <w:rsid w:val="00FB7782"/>
    <w:rsid w:val="00FC1C05"/>
    <w:rsid w:val="00FC3C3D"/>
    <w:rsid w:val="00FC5CBB"/>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A0C"/>
    <w:rsid w:val="00FE4D1E"/>
    <w:rsid w:val="00FE52CD"/>
    <w:rsid w:val="00FE52D5"/>
    <w:rsid w:val="00FE59F4"/>
    <w:rsid w:val="00FE6E20"/>
    <w:rsid w:val="00FE763E"/>
    <w:rsid w:val="00FF28BC"/>
    <w:rsid w:val="00FF2964"/>
    <w:rsid w:val="00FF44DD"/>
    <w:rsid w:val="00FF4A1A"/>
    <w:rsid w:val="00FF5421"/>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400A"/>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uiPriority w:val="9"/>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3040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400A"/>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spacing w:after="0"/>
      <w:ind w:left="630"/>
      <w:jc w:val="both"/>
    </w:pPr>
    <w:rPr>
      <w:kern w:val="2"/>
      <w:sz w:val="21"/>
      <w:lang w:val="en-US"/>
    </w:rPr>
  </w:style>
  <w:style w:type="paragraph" w:styleId="BodyTextIndent2">
    <w:name w:val="Body Text Indent 2"/>
    <w:basedOn w:val="Normal"/>
    <w:pPr>
      <w:widowControl w:val="0"/>
      <w:tabs>
        <w:tab w:val="left" w:pos="2205"/>
      </w:tabs>
      <w:spacing w:after="0"/>
      <w:ind w:left="200"/>
      <w:jc w:val="both"/>
    </w:pPr>
    <w:rPr>
      <w:kern w:val="2"/>
      <w:lang w:val="en-US"/>
    </w:rPr>
  </w:style>
  <w:style w:type="paragraph" w:styleId="BodyTextIndent3">
    <w:name w:val="Body Text Indent 3"/>
    <w:basedOn w:val="Normal"/>
    <w:pPr>
      <w:spacing w:after="0"/>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basedOn w:val="Normal"/>
    <w:link w:val="ListParagraphChar"/>
    <w:uiPriority w:val="34"/>
    <w:qFormat/>
    <w:rsid w:val="007F740E"/>
    <w:pPr>
      <w:ind w:left="720"/>
      <w:contextualSpacing/>
    </w:pPr>
  </w:style>
  <w:style w:type="character" w:customStyle="1" w:styleId="ListParagraphChar">
    <w:name w:val="List Paragraph Char"/>
    <w:link w:val="ListParagraph"/>
    <w:uiPriority w:val="34"/>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9CD4E2-0706-4DFA-9438-75442A426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2312</Words>
  <Characters>13185</Characters>
  <Application>Microsoft Office Word</Application>
  <DocSecurity>0</DocSecurity>
  <Lines>109</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2017-11-08T14:58:00Z</dcterms:created>
  <dcterms:modified xsi:type="dcterms:W3CDTF">2017-11-17T21:27:00Z</dcterms:modified>
</cp:coreProperties>
</file>